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28BBB52C" w:rsidR="003378B3" w:rsidRDefault="003378B3" w:rsidP="009A7B0C">
      <w:pPr>
        <w:spacing w:after="0" w:line="240" w:lineRule="auto"/>
        <w:jc w:val="both"/>
        <w:rPr>
          <w:rFonts w:ascii="Tahoma" w:hAnsi="Tahoma" w:cs="Tahoma"/>
          <w:b/>
          <w:bCs/>
          <w:noProof/>
          <w:color w:val="32598A"/>
          <w:sz w:val="28"/>
          <w:szCs w:val="28"/>
        </w:rPr>
      </w:pPr>
      <w:r>
        <w:rPr>
          <w:rFonts w:ascii="Tahoma" w:hAnsi="Tahoma" w:cs="Tahoma"/>
          <w:b/>
          <w:bCs/>
          <w:noProof/>
          <w:color w:val="32598A"/>
          <w:sz w:val="28"/>
          <w:szCs w:val="28"/>
        </w:rPr>
        <w:t>POSTER PRESENTATION :</w:t>
      </w:r>
    </w:p>
    <w:p w14:paraId="442221E4" w14:textId="5C59C17E" w:rsidR="00E472B1" w:rsidRPr="00E472B1" w:rsidRDefault="00847B93" w:rsidP="009A7B0C">
      <w:pPr>
        <w:spacing w:after="0" w:line="240" w:lineRule="auto"/>
        <w:jc w:val="both"/>
        <w:rPr>
          <w:rFonts w:ascii="Tahoma" w:hAnsi="Tahoma" w:cs="Tahoma"/>
          <w:b/>
          <w:bCs/>
          <w:noProof/>
          <w:color w:val="32598A"/>
          <w:sz w:val="24"/>
          <w:szCs w:val="24"/>
        </w:rPr>
      </w:pPr>
      <w:sdt>
        <w:sdtPr>
          <w:rPr>
            <w:rFonts w:ascii="Tahoma" w:hAnsi="Tahoma" w:cs="Tahoma"/>
            <w:sz w:val="24"/>
            <w:szCs w:val="24"/>
          </w:rPr>
          <w:id w:val="495000437"/>
          <w:placeholder>
            <w:docPart w:val="4FB6DE460FFA494687E5EAF48D541B31"/>
          </w:placeholder>
          <w:text/>
        </w:sdtPr>
        <w:sdtEndPr/>
        <w:sdtContent>
          <w:r w:rsidR="00E472B1" w:rsidRPr="00E472B1">
            <w:rPr>
              <w:rFonts w:ascii="Tahoma" w:hAnsi="Tahoma" w:cs="Tahoma"/>
              <w:sz w:val="24"/>
              <w:szCs w:val="24"/>
            </w:rPr>
            <w:t>Introducing the Steroid Patient Information Survey (SPINS)- A Survey of knowledge of sick day rules amongst patients on long term steroid treatment</w:t>
          </w:r>
          <w:r w:rsidR="00E472B1">
            <w:rPr>
              <w:rFonts w:ascii="Tahoma" w:hAnsi="Tahoma" w:cs="Tahoma"/>
              <w:sz w:val="24"/>
              <w:szCs w:val="24"/>
            </w:rPr>
            <w:t>.</w:t>
          </w:r>
        </w:sdtContent>
      </w:sdt>
    </w:p>
    <w:p w14:paraId="1AE8C737" w14:textId="4A790447" w:rsidR="00E472B1" w:rsidRPr="00E472B1" w:rsidRDefault="00E472B1" w:rsidP="009A7B0C">
      <w:pPr>
        <w:spacing w:after="0" w:line="240" w:lineRule="auto"/>
        <w:jc w:val="both"/>
        <w:rPr>
          <w:rFonts w:ascii="Tahoma" w:hAnsi="Tahoma" w:cs="Tahoma"/>
          <w:b/>
          <w:bCs/>
          <w:noProof/>
          <w:color w:val="32598A"/>
          <w:sz w:val="16"/>
          <w:szCs w:val="16"/>
        </w:rPr>
      </w:pPr>
    </w:p>
    <w:p w14:paraId="5CFA3287" w14:textId="2A54DE76" w:rsidR="003378B3" w:rsidRPr="00E0156E" w:rsidRDefault="003378B3" w:rsidP="009A7B0C">
      <w:pPr>
        <w:spacing w:line="240" w:lineRule="auto"/>
        <w:jc w:val="both"/>
        <w:rPr>
          <w:rFonts w:ascii="Tahoma" w:hAnsi="Tahoma" w:cs="Tahoma"/>
          <w:noProof/>
          <w:sz w:val="24"/>
          <w:szCs w:val="24"/>
        </w:rPr>
      </w:pPr>
      <w:r w:rsidRPr="0073698D">
        <w:rPr>
          <w:rFonts w:ascii="Tahoma" w:hAnsi="Tahoma" w:cs="Tahoma"/>
          <w:b/>
          <w:bCs/>
          <w:noProof/>
          <w:color w:val="32598A"/>
          <w:sz w:val="28"/>
          <w:szCs w:val="28"/>
        </w:rPr>
        <w:t>Author/s:</w:t>
      </w:r>
      <w:r w:rsidR="00776A0C">
        <w:rPr>
          <w:rFonts w:ascii="Tahoma" w:hAnsi="Tahoma" w:cs="Tahoma"/>
          <w:noProof/>
          <w:sz w:val="24"/>
          <w:szCs w:val="24"/>
        </w:rPr>
        <w:t>Higgi, N</w:t>
      </w:r>
      <w:r w:rsidR="00776A0C">
        <w:rPr>
          <w:rFonts w:ascii="Tahoma" w:hAnsi="Tahoma" w:cs="Tahoma"/>
          <w:noProof/>
          <w:sz w:val="24"/>
          <w:szCs w:val="24"/>
          <w:vertAlign w:val="superscript"/>
        </w:rPr>
        <w:t>1</w:t>
      </w:r>
      <w:r w:rsidR="00776A0C">
        <w:rPr>
          <w:rFonts w:ascii="Tahoma" w:hAnsi="Tahoma" w:cs="Tahoma"/>
          <w:noProof/>
          <w:sz w:val="24"/>
          <w:szCs w:val="24"/>
        </w:rPr>
        <w:t>.,</w:t>
      </w:r>
      <w:r w:rsidR="00847B93">
        <w:rPr>
          <w:rFonts w:ascii="Tahoma" w:hAnsi="Tahoma" w:cs="Tahoma"/>
          <w:noProof/>
          <w:sz w:val="24"/>
          <w:szCs w:val="24"/>
        </w:rPr>
        <w:t xml:space="preserve"> </w:t>
      </w:r>
      <w:r w:rsidR="00776A0C">
        <w:rPr>
          <w:rFonts w:ascii="Tahoma" w:hAnsi="Tahoma" w:cs="Tahoma"/>
          <w:noProof/>
          <w:sz w:val="24"/>
          <w:szCs w:val="24"/>
        </w:rPr>
        <w:t>Okosieme, O</w:t>
      </w:r>
      <w:r w:rsidR="00776A0C">
        <w:rPr>
          <w:rFonts w:ascii="Tahoma" w:hAnsi="Tahoma" w:cs="Tahoma"/>
          <w:noProof/>
          <w:sz w:val="24"/>
          <w:szCs w:val="24"/>
          <w:vertAlign w:val="superscript"/>
        </w:rPr>
        <w:t>2</w:t>
      </w:r>
      <w:r w:rsidR="00776A0C">
        <w:rPr>
          <w:rFonts w:ascii="Tahoma" w:hAnsi="Tahoma" w:cs="Tahoma"/>
          <w:noProof/>
          <w:sz w:val="24"/>
          <w:szCs w:val="24"/>
        </w:rPr>
        <w:t>.,</w:t>
      </w:r>
      <w:r w:rsidR="00194EDE">
        <w:rPr>
          <w:rFonts w:ascii="Tahoma" w:hAnsi="Tahoma" w:cs="Tahoma"/>
          <w:noProof/>
          <w:sz w:val="24"/>
          <w:szCs w:val="24"/>
        </w:rPr>
        <w:t xml:space="preserve"> Vinh, A</w:t>
      </w:r>
      <w:r w:rsidR="00194EDE">
        <w:rPr>
          <w:rFonts w:ascii="Tahoma" w:hAnsi="Tahoma" w:cs="Tahoma"/>
          <w:noProof/>
          <w:sz w:val="24"/>
          <w:szCs w:val="24"/>
          <w:vertAlign w:val="superscript"/>
        </w:rPr>
        <w:t>3</w:t>
      </w:r>
      <w:r w:rsidR="00194EDE">
        <w:rPr>
          <w:rFonts w:ascii="Tahoma" w:hAnsi="Tahoma" w:cs="Tahoma"/>
          <w:noProof/>
          <w:sz w:val="24"/>
          <w:szCs w:val="24"/>
        </w:rPr>
        <w:t>.,</w:t>
      </w:r>
      <w:r w:rsidR="00194EDE">
        <w:rPr>
          <w:rFonts w:ascii="Tahoma" w:hAnsi="Tahoma" w:cs="Tahoma"/>
          <w:noProof/>
          <w:sz w:val="24"/>
          <w:szCs w:val="24"/>
          <w:vertAlign w:val="superscript"/>
        </w:rPr>
        <w:t xml:space="preserve"> </w:t>
      </w:r>
      <w:r w:rsidR="00194EDE">
        <w:rPr>
          <w:rFonts w:ascii="Tahoma" w:hAnsi="Tahoma" w:cs="Tahoma"/>
          <w:noProof/>
          <w:sz w:val="24"/>
          <w:szCs w:val="24"/>
        </w:rPr>
        <w:t>Spittle, K</w:t>
      </w:r>
      <w:r w:rsidR="00194EDE">
        <w:rPr>
          <w:rFonts w:ascii="Tahoma" w:hAnsi="Tahoma" w:cs="Tahoma"/>
          <w:noProof/>
          <w:sz w:val="24"/>
          <w:szCs w:val="24"/>
          <w:vertAlign w:val="superscript"/>
        </w:rPr>
        <w:t>1</w:t>
      </w:r>
      <w:r w:rsidR="00194EDE">
        <w:rPr>
          <w:rFonts w:ascii="Tahoma" w:hAnsi="Tahoma" w:cs="Tahoma"/>
          <w:noProof/>
          <w:sz w:val="24"/>
          <w:szCs w:val="24"/>
        </w:rPr>
        <w:t>., Green, E</w:t>
      </w:r>
      <w:r w:rsidR="009A7B0C">
        <w:rPr>
          <w:rFonts w:ascii="Tahoma" w:hAnsi="Tahoma" w:cs="Tahoma"/>
          <w:noProof/>
          <w:sz w:val="24"/>
          <w:szCs w:val="24"/>
          <w:vertAlign w:val="superscript"/>
        </w:rPr>
        <w:t>3</w:t>
      </w:r>
      <w:r w:rsidR="00194EDE">
        <w:rPr>
          <w:rFonts w:ascii="Tahoma" w:hAnsi="Tahoma" w:cs="Tahoma"/>
          <w:noProof/>
          <w:sz w:val="24"/>
          <w:szCs w:val="24"/>
        </w:rPr>
        <w:t>.,</w:t>
      </w:r>
      <w:r w:rsidR="009A7B0C">
        <w:rPr>
          <w:rFonts w:ascii="Tahoma" w:hAnsi="Tahoma" w:cs="Tahoma"/>
          <w:noProof/>
          <w:sz w:val="24"/>
          <w:szCs w:val="24"/>
        </w:rPr>
        <w:t xml:space="preserve"> Yuhaznel, F</w:t>
      </w:r>
      <w:r w:rsidR="009A7B0C">
        <w:rPr>
          <w:rFonts w:ascii="Tahoma" w:hAnsi="Tahoma" w:cs="Tahoma"/>
          <w:noProof/>
          <w:sz w:val="24"/>
          <w:szCs w:val="24"/>
          <w:vertAlign w:val="superscript"/>
        </w:rPr>
        <w:t>4</w:t>
      </w:r>
      <w:r w:rsidR="009A7B0C">
        <w:rPr>
          <w:rFonts w:ascii="Tahoma" w:hAnsi="Tahoma" w:cs="Tahoma"/>
          <w:noProof/>
          <w:sz w:val="24"/>
          <w:szCs w:val="24"/>
        </w:rPr>
        <w:t>., Aldridge, A</w:t>
      </w:r>
      <w:r w:rsidR="009A7B0C">
        <w:rPr>
          <w:rFonts w:ascii="Tahoma" w:hAnsi="Tahoma" w:cs="Tahoma"/>
          <w:noProof/>
          <w:sz w:val="24"/>
          <w:szCs w:val="24"/>
          <w:vertAlign w:val="superscript"/>
        </w:rPr>
        <w:t>1</w:t>
      </w:r>
      <w:r w:rsidR="009A7B0C">
        <w:rPr>
          <w:rFonts w:ascii="Tahoma" w:hAnsi="Tahoma" w:cs="Tahoma"/>
          <w:noProof/>
          <w:sz w:val="24"/>
          <w:szCs w:val="24"/>
        </w:rPr>
        <w:t>.</w:t>
      </w:r>
    </w:p>
    <w:p w14:paraId="0EF06F1D" w14:textId="1934C1DF" w:rsidR="0073698D" w:rsidRPr="00776A0C" w:rsidRDefault="0073698D" w:rsidP="009A7B0C">
      <w:pPr>
        <w:spacing w:line="240" w:lineRule="auto"/>
        <w:jc w:val="both"/>
        <w:rPr>
          <w:rFonts w:ascii="Tahoma" w:hAnsi="Tahoma" w:cs="Tahoma"/>
          <w:noProof/>
          <w:sz w:val="24"/>
          <w:szCs w:val="24"/>
        </w:rPr>
      </w:pPr>
      <w:r>
        <w:rPr>
          <w:rFonts w:ascii="Tahoma" w:hAnsi="Tahoma" w:cs="Tahoma"/>
          <w:b/>
          <w:bCs/>
          <w:noProof/>
          <w:color w:val="32598A"/>
          <w:sz w:val="28"/>
          <w:szCs w:val="28"/>
        </w:rPr>
        <w:t>Department:</w:t>
      </w:r>
      <w:r w:rsidR="00776A0C">
        <w:rPr>
          <w:rFonts w:ascii="Tahoma" w:hAnsi="Tahoma" w:cs="Tahoma"/>
          <w:noProof/>
          <w:sz w:val="24"/>
          <w:szCs w:val="24"/>
        </w:rPr>
        <w:t xml:space="preserve"> </w:t>
      </w:r>
      <w:r w:rsidR="00776A0C">
        <w:rPr>
          <w:rFonts w:ascii="Tahoma" w:hAnsi="Tahoma" w:cs="Tahoma"/>
          <w:noProof/>
          <w:sz w:val="24"/>
          <w:szCs w:val="24"/>
          <w:vertAlign w:val="superscript"/>
        </w:rPr>
        <w:t>1</w:t>
      </w:r>
      <w:r w:rsidR="00776A0C">
        <w:rPr>
          <w:rFonts w:ascii="Tahoma" w:hAnsi="Tahoma" w:cs="Tahoma"/>
          <w:noProof/>
          <w:sz w:val="24"/>
          <w:szCs w:val="24"/>
        </w:rPr>
        <w:t>Pharmacy</w:t>
      </w:r>
      <w:r w:rsidR="009A7B0C">
        <w:rPr>
          <w:rFonts w:ascii="Tahoma" w:hAnsi="Tahoma" w:cs="Tahoma"/>
          <w:noProof/>
          <w:sz w:val="24"/>
          <w:szCs w:val="24"/>
        </w:rPr>
        <w:t xml:space="preserve"> Department, Cwm Taf Morgannwg University Health Board. </w:t>
      </w:r>
      <w:r w:rsidR="00776A0C">
        <w:rPr>
          <w:rFonts w:ascii="Tahoma" w:hAnsi="Tahoma" w:cs="Tahoma"/>
          <w:noProof/>
          <w:sz w:val="24"/>
          <w:szCs w:val="24"/>
        </w:rPr>
        <w:t xml:space="preserve"> </w:t>
      </w:r>
      <w:r w:rsidR="00776A0C">
        <w:rPr>
          <w:rFonts w:ascii="Tahoma" w:hAnsi="Tahoma" w:cs="Tahoma"/>
          <w:noProof/>
          <w:sz w:val="24"/>
          <w:szCs w:val="24"/>
          <w:vertAlign w:val="superscript"/>
        </w:rPr>
        <w:t>2</w:t>
      </w:r>
      <w:r w:rsidR="00776A0C">
        <w:rPr>
          <w:rFonts w:ascii="Tahoma" w:hAnsi="Tahoma" w:cs="Tahoma"/>
          <w:noProof/>
          <w:sz w:val="24"/>
          <w:szCs w:val="24"/>
        </w:rPr>
        <w:t xml:space="preserve">Diabetes &amp; Endocrinology, </w:t>
      </w:r>
      <w:r w:rsidR="009A7B0C">
        <w:rPr>
          <w:rFonts w:ascii="Tahoma" w:hAnsi="Tahoma" w:cs="Tahoma"/>
          <w:noProof/>
          <w:sz w:val="24"/>
          <w:szCs w:val="24"/>
        </w:rPr>
        <w:t xml:space="preserve">Cwm Taf Morgannwg University Health Board. </w:t>
      </w:r>
      <w:r w:rsidR="00776A0C">
        <w:rPr>
          <w:rFonts w:ascii="Tahoma" w:hAnsi="Tahoma" w:cs="Tahoma"/>
          <w:noProof/>
          <w:sz w:val="24"/>
          <w:szCs w:val="24"/>
          <w:vertAlign w:val="superscript"/>
        </w:rPr>
        <w:t>3</w:t>
      </w:r>
      <w:r w:rsidR="00776A0C">
        <w:rPr>
          <w:rFonts w:ascii="Tahoma" w:hAnsi="Tahoma" w:cs="Tahoma"/>
          <w:noProof/>
          <w:sz w:val="24"/>
          <w:szCs w:val="24"/>
        </w:rPr>
        <w:t>Respiratory</w:t>
      </w:r>
      <w:r w:rsidR="009A7B0C">
        <w:rPr>
          <w:rFonts w:ascii="Tahoma" w:hAnsi="Tahoma" w:cs="Tahoma"/>
          <w:noProof/>
          <w:sz w:val="24"/>
          <w:szCs w:val="24"/>
        </w:rPr>
        <w:t xml:space="preserve"> Department, Cwm Taf Morgannwg University Health Board.</w:t>
      </w:r>
      <w:r w:rsidR="00776A0C">
        <w:rPr>
          <w:rFonts w:ascii="Tahoma" w:hAnsi="Tahoma" w:cs="Tahoma"/>
          <w:noProof/>
          <w:sz w:val="24"/>
          <w:szCs w:val="24"/>
        </w:rPr>
        <w:t xml:space="preserve"> </w:t>
      </w:r>
      <w:r w:rsidR="009A7B0C">
        <w:rPr>
          <w:rFonts w:ascii="Tahoma" w:hAnsi="Tahoma" w:cs="Tahoma"/>
          <w:noProof/>
          <w:sz w:val="24"/>
          <w:szCs w:val="24"/>
          <w:vertAlign w:val="superscript"/>
        </w:rPr>
        <w:t>4</w:t>
      </w:r>
      <w:r w:rsidR="009A7B0C">
        <w:rPr>
          <w:rFonts w:ascii="Tahoma" w:hAnsi="Tahoma" w:cs="Tahoma"/>
          <w:noProof/>
          <w:sz w:val="24"/>
          <w:szCs w:val="24"/>
        </w:rPr>
        <w:t>Acute Medicine, Cardiff &amp; Vale Universiity Hospital</w:t>
      </w:r>
    </w:p>
    <w:p w14:paraId="5C2DF48A" w14:textId="77777777" w:rsidR="001D73FB" w:rsidRPr="00101A21" w:rsidRDefault="001D73FB" w:rsidP="009A7B0C">
      <w:pPr>
        <w:shd w:val="clear" w:color="auto" w:fill="32598A"/>
        <w:spacing w:line="240" w:lineRule="auto"/>
        <w:jc w:val="both"/>
        <w:rPr>
          <w:color w:val="0066CC"/>
        </w:rPr>
      </w:pPr>
    </w:p>
    <w:p w14:paraId="538FA88B" w14:textId="280EA306" w:rsidR="00400A84" w:rsidRDefault="001D73FB" w:rsidP="009A7B0C">
      <w:pPr>
        <w:spacing w:after="0" w:line="240" w:lineRule="auto"/>
        <w:jc w:val="both"/>
        <w:rPr>
          <w:rFonts w:ascii="Tahoma" w:hAnsi="Tahoma" w:cs="Tahoma"/>
          <w:b/>
          <w:bCs/>
          <w:sz w:val="24"/>
          <w:szCs w:val="24"/>
        </w:rPr>
      </w:pPr>
      <w:r>
        <w:rPr>
          <w:rFonts w:ascii="Tahoma" w:hAnsi="Tahoma" w:cs="Tahoma"/>
          <w:b/>
          <w:bCs/>
          <w:sz w:val="24"/>
          <w:szCs w:val="24"/>
        </w:rPr>
        <w:t>Introduction:</w:t>
      </w:r>
    </w:p>
    <w:p w14:paraId="58390E4C" w14:textId="77777777" w:rsidR="005B0AAA" w:rsidRPr="005B0AAA" w:rsidRDefault="005B0AAA" w:rsidP="009A7B0C">
      <w:pPr>
        <w:spacing w:line="240" w:lineRule="auto"/>
        <w:ind w:right="142"/>
        <w:jc w:val="both"/>
        <w:rPr>
          <w:sz w:val="24"/>
          <w:szCs w:val="24"/>
        </w:rPr>
      </w:pPr>
      <w:r w:rsidRPr="005B0AAA">
        <w:rPr>
          <w:rFonts w:ascii="Tahoma" w:hAnsi="Tahoma" w:cs="Tahoma"/>
          <w:sz w:val="24"/>
          <w:szCs w:val="24"/>
        </w:rPr>
        <w:t>An increasing number of patients take long-term maintenance doses of steroids for a variety of conditions. During periods of illness, steroid treatment should not be discontinued and daily doses need to be doubled. Thus, patients should be routinely given advice on how to manage their steroids during illness, the so-called sick day rules. Poor sick day management increases morbidity, and may lead to hospital admission with associated costs to the NHS. In Wales, an average of about 200 admissions each year are primarily due to adrenal insufficiency, accounting for an average 750 bed days per annum. The most serious cases result in an adrenal crisis, a potentially fatal medical emergency, in which the body’s production of cortisol is critically impaired.</w:t>
      </w:r>
      <w:r w:rsidRPr="005B0AAA">
        <w:rPr>
          <w:sz w:val="24"/>
          <w:szCs w:val="24"/>
        </w:rPr>
        <w:t xml:space="preserve"> </w:t>
      </w:r>
    </w:p>
    <w:p w14:paraId="1FE66655" w14:textId="77777777" w:rsidR="005B0AAA" w:rsidRPr="005B0AAA" w:rsidRDefault="005B0AAA" w:rsidP="009A7B0C">
      <w:pPr>
        <w:spacing w:after="0" w:line="240" w:lineRule="auto"/>
        <w:ind w:right="142"/>
        <w:jc w:val="both"/>
        <w:rPr>
          <w:rFonts w:ascii="Tahoma" w:hAnsi="Tahoma" w:cs="Tahoma"/>
          <w:sz w:val="24"/>
          <w:szCs w:val="24"/>
        </w:rPr>
      </w:pPr>
      <w:r w:rsidRPr="005B0AAA">
        <w:rPr>
          <w:rFonts w:ascii="Tahoma" w:hAnsi="Tahoma" w:cs="Tahoma"/>
          <w:sz w:val="24"/>
          <w:szCs w:val="24"/>
        </w:rPr>
        <w:t>Guidelines and practice:</w:t>
      </w:r>
    </w:p>
    <w:p w14:paraId="64F093DB" w14:textId="77777777" w:rsidR="005B0AAA" w:rsidRPr="005B0AAA" w:rsidRDefault="005B0AAA" w:rsidP="009A7B0C">
      <w:pPr>
        <w:spacing w:line="240" w:lineRule="auto"/>
        <w:ind w:right="142"/>
        <w:jc w:val="both"/>
        <w:rPr>
          <w:rFonts w:ascii="Tahoma" w:hAnsi="Tahoma" w:cs="Tahoma"/>
          <w:sz w:val="24"/>
          <w:szCs w:val="24"/>
        </w:rPr>
      </w:pPr>
      <w:r w:rsidRPr="005B0AAA">
        <w:rPr>
          <w:rFonts w:ascii="Tahoma" w:hAnsi="Tahoma" w:cs="Tahoma"/>
          <w:sz w:val="24"/>
          <w:szCs w:val="24"/>
        </w:rPr>
        <w:t>Current NICE guidance states that at diagnosis of adrenal insufficiency, patients should be provided with an emergency therapy card and information regarding sick day rules. However, clinic encounters have identified that not all patients on long-term steroids are adequately educated on sick day rules. Thus, improving knowledge of sick day rules amongst patients will improve patient well-being and prevent hospital admissions. Ultimately, this will align our practice in Cwm Taf University Health Board with national recommendations.</w:t>
      </w:r>
    </w:p>
    <w:p w14:paraId="7348F163" w14:textId="71FE5BF8" w:rsidR="001D73FB" w:rsidRDefault="001D73FB" w:rsidP="009A7B0C">
      <w:pPr>
        <w:spacing w:after="0" w:line="240" w:lineRule="auto"/>
        <w:jc w:val="both"/>
        <w:rPr>
          <w:rFonts w:ascii="Tahoma" w:hAnsi="Tahoma" w:cs="Tahoma"/>
          <w:b/>
          <w:bCs/>
          <w:sz w:val="24"/>
          <w:szCs w:val="24"/>
        </w:rPr>
      </w:pPr>
      <w:r>
        <w:rPr>
          <w:rFonts w:ascii="Tahoma" w:hAnsi="Tahoma" w:cs="Tahoma"/>
          <w:b/>
          <w:bCs/>
          <w:sz w:val="24"/>
          <w:szCs w:val="24"/>
        </w:rPr>
        <w:t>Aim:</w:t>
      </w:r>
    </w:p>
    <w:p w14:paraId="461B3B52" w14:textId="6182D178" w:rsidR="005B0AAA" w:rsidRPr="005B0AAA" w:rsidRDefault="005B0AAA" w:rsidP="009A7B0C">
      <w:pPr>
        <w:spacing w:after="0" w:line="240" w:lineRule="auto"/>
        <w:jc w:val="both"/>
        <w:rPr>
          <w:rFonts w:ascii="Tahoma" w:hAnsi="Tahoma" w:cs="Tahoma"/>
          <w:sz w:val="24"/>
          <w:szCs w:val="24"/>
        </w:rPr>
      </w:pPr>
      <w:r>
        <w:rPr>
          <w:rFonts w:ascii="Tahoma" w:hAnsi="Tahoma" w:cs="Tahoma"/>
          <w:sz w:val="24"/>
          <w:szCs w:val="24"/>
        </w:rPr>
        <w:t>The Steroid Patient Information Survey (SPINS) aims to ensure our current service provide appropriate advice and education to patients on long term steroids including oral and high dose inhales steroids.</w:t>
      </w:r>
    </w:p>
    <w:p w14:paraId="2306E724" w14:textId="77777777" w:rsidR="005B0AAA" w:rsidRPr="005B0AAA" w:rsidRDefault="005B0AAA" w:rsidP="009A7B0C">
      <w:pPr>
        <w:spacing w:after="0" w:line="240" w:lineRule="auto"/>
        <w:jc w:val="both"/>
        <w:rPr>
          <w:rFonts w:ascii="Tahoma" w:hAnsi="Tahoma" w:cs="Tahoma"/>
          <w:b/>
          <w:bCs/>
          <w:sz w:val="16"/>
          <w:szCs w:val="16"/>
        </w:rPr>
      </w:pPr>
    </w:p>
    <w:p w14:paraId="4F0C03D1" w14:textId="104C5553" w:rsidR="001D73FB" w:rsidRDefault="001D73FB" w:rsidP="009A7B0C">
      <w:pPr>
        <w:spacing w:after="0" w:line="240" w:lineRule="auto"/>
        <w:jc w:val="both"/>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3F6EE578" w14:textId="77777777" w:rsidR="005B0AAA" w:rsidRPr="005B0AAA" w:rsidRDefault="005B0AAA" w:rsidP="009A7B0C">
      <w:pPr>
        <w:spacing w:after="0" w:line="240" w:lineRule="auto"/>
        <w:jc w:val="both"/>
        <w:rPr>
          <w:rFonts w:ascii="Tahoma" w:hAnsi="Tahoma" w:cs="Tahoma"/>
          <w:sz w:val="24"/>
          <w:szCs w:val="24"/>
        </w:rPr>
      </w:pPr>
      <w:r w:rsidRPr="005B0AAA">
        <w:rPr>
          <w:rFonts w:ascii="Tahoma" w:hAnsi="Tahoma" w:cs="Tahoma"/>
          <w:sz w:val="24"/>
          <w:szCs w:val="24"/>
        </w:rPr>
        <w:t xml:space="preserve">Process: </w:t>
      </w:r>
    </w:p>
    <w:p w14:paraId="1C65F4D4" w14:textId="77777777" w:rsidR="005B0AAA" w:rsidRPr="005B0AAA" w:rsidRDefault="005B0AAA" w:rsidP="009A7B0C">
      <w:pPr>
        <w:spacing w:line="240" w:lineRule="auto"/>
        <w:jc w:val="both"/>
        <w:rPr>
          <w:rFonts w:ascii="Tahoma" w:hAnsi="Tahoma" w:cs="Tahoma"/>
          <w:sz w:val="24"/>
          <w:szCs w:val="24"/>
        </w:rPr>
      </w:pPr>
      <w:r w:rsidRPr="005B0AAA">
        <w:rPr>
          <w:rFonts w:ascii="Tahoma" w:hAnsi="Tahoma" w:cs="Tahoma"/>
          <w:sz w:val="24"/>
          <w:szCs w:val="24"/>
        </w:rPr>
        <w:t xml:space="preserve">Target population is in the Merthyr and Cynon localities, with the aim to target a sample of the GP practice populations in these areas as well as secondary care services e.g., OPD clinics/inpatients. </w:t>
      </w:r>
    </w:p>
    <w:p w14:paraId="0E6E2064" w14:textId="77777777" w:rsidR="005B0AAA" w:rsidRPr="005B0AAA" w:rsidRDefault="005B0AAA" w:rsidP="009A7B0C">
      <w:pPr>
        <w:spacing w:line="240" w:lineRule="auto"/>
        <w:jc w:val="both"/>
        <w:rPr>
          <w:rFonts w:ascii="Tahoma" w:hAnsi="Tahoma" w:cs="Tahoma"/>
          <w:sz w:val="24"/>
          <w:szCs w:val="24"/>
        </w:rPr>
      </w:pPr>
      <w:r w:rsidRPr="005B0AAA">
        <w:rPr>
          <w:rFonts w:ascii="Tahoma" w:hAnsi="Tahoma" w:cs="Tahoma"/>
          <w:sz w:val="24"/>
          <w:szCs w:val="24"/>
        </w:rPr>
        <w:t>Target population will be identified by searches run via the primary care pharmacy team.</w:t>
      </w:r>
    </w:p>
    <w:p w14:paraId="31DD58B9" w14:textId="77777777" w:rsidR="005B0AAA" w:rsidRPr="005B0AAA" w:rsidRDefault="005B0AAA" w:rsidP="009A7B0C">
      <w:pPr>
        <w:spacing w:after="0" w:line="240" w:lineRule="auto"/>
        <w:jc w:val="both"/>
        <w:rPr>
          <w:rFonts w:ascii="Tahoma" w:hAnsi="Tahoma" w:cs="Tahoma"/>
          <w:sz w:val="24"/>
          <w:szCs w:val="24"/>
        </w:rPr>
      </w:pPr>
      <w:r w:rsidRPr="005B0AAA">
        <w:rPr>
          <w:rFonts w:ascii="Tahoma" w:hAnsi="Tahoma" w:cs="Tahoma"/>
          <w:sz w:val="24"/>
          <w:szCs w:val="24"/>
        </w:rPr>
        <w:t>Survey:</w:t>
      </w:r>
    </w:p>
    <w:p w14:paraId="4E39ACEF" w14:textId="77777777" w:rsidR="009A7B0C" w:rsidRDefault="005B0AAA" w:rsidP="009A7B0C">
      <w:pPr>
        <w:pStyle w:val="CommentText"/>
        <w:jc w:val="both"/>
        <w:rPr>
          <w:rFonts w:ascii="Tahoma" w:hAnsi="Tahoma" w:cs="Tahoma"/>
          <w:sz w:val="24"/>
          <w:szCs w:val="24"/>
        </w:rPr>
      </w:pPr>
      <w:r w:rsidRPr="005B0AAA">
        <w:rPr>
          <w:rFonts w:ascii="Tahoma" w:hAnsi="Tahoma" w:cs="Tahoma"/>
          <w:sz w:val="24"/>
          <w:szCs w:val="24"/>
        </w:rPr>
        <w:t>The survey forms will be sent to potential participants by post and will comprise a short survey form which will take about 5 minutes to complete. This will comprise 10 questions on steroid use, knowledge on doubling dose of steroids and the possession and use of a steroid card. The survey</w:t>
      </w:r>
    </w:p>
    <w:p w14:paraId="13A1741F" w14:textId="0A53DC5E" w:rsidR="005B0AAA" w:rsidRPr="005B0AAA" w:rsidRDefault="005B0AAA" w:rsidP="009A7B0C">
      <w:pPr>
        <w:pStyle w:val="CommentText"/>
        <w:jc w:val="both"/>
        <w:rPr>
          <w:rFonts w:ascii="Tahoma" w:hAnsi="Tahoma" w:cs="Tahoma"/>
          <w:sz w:val="24"/>
          <w:szCs w:val="24"/>
        </w:rPr>
      </w:pPr>
      <w:r w:rsidRPr="005B0AAA">
        <w:rPr>
          <w:rFonts w:ascii="Tahoma" w:hAnsi="Tahoma" w:cs="Tahoma"/>
          <w:sz w:val="24"/>
          <w:szCs w:val="24"/>
        </w:rPr>
        <w:lastRenderedPageBreak/>
        <w:t xml:space="preserve"> pack provided to participants contains an introduction letter, survey, information on sick day rules and both red &amp; blue alter cards. In hospital or outpatient department patients will be provided with the same survey pack. </w:t>
      </w:r>
    </w:p>
    <w:p w14:paraId="33F0849B" w14:textId="77777777" w:rsidR="005B0AAA" w:rsidRPr="005B0AAA" w:rsidRDefault="005B0AAA" w:rsidP="009A7B0C">
      <w:pPr>
        <w:pStyle w:val="CommentText"/>
        <w:jc w:val="both"/>
        <w:rPr>
          <w:rFonts w:ascii="Tahoma" w:hAnsi="Tahoma" w:cs="Tahoma"/>
          <w:sz w:val="24"/>
          <w:szCs w:val="24"/>
        </w:rPr>
      </w:pPr>
      <w:r w:rsidRPr="005B0AAA">
        <w:rPr>
          <w:rFonts w:ascii="Tahoma" w:hAnsi="Tahoma" w:cs="Tahoma"/>
          <w:sz w:val="24"/>
          <w:szCs w:val="24"/>
        </w:rPr>
        <w:t xml:space="preserve">Responses will mostly be in Likert scale form. Completed surveys will be returned to the study team for analysis. </w:t>
      </w:r>
    </w:p>
    <w:p w14:paraId="2D1C02C1" w14:textId="77777777" w:rsidR="005B0AAA" w:rsidRPr="00861A7A" w:rsidRDefault="005B0AAA" w:rsidP="009A7B0C">
      <w:pPr>
        <w:spacing w:after="0" w:line="240" w:lineRule="auto"/>
        <w:jc w:val="both"/>
        <w:rPr>
          <w:rFonts w:ascii="Tahoma" w:hAnsi="Tahoma" w:cs="Tahoma"/>
          <w:sz w:val="16"/>
          <w:szCs w:val="16"/>
        </w:rPr>
      </w:pPr>
    </w:p>
    <w:p w14:paraId="26A274CA" w14:textId="77777777" w:rsidR="005B0AAA" w:rsidRPr="005B0AAA" w:rsidRDefault="005B0AAA" w:rsidP="009A7B0C">
      <w:pPr>
        <w:spacing w:line="240" w:lineRule="auto"/>
        <w:jc w:val="both"/>
        <w:rPr>
          <w:rFonts w:ascii="Tahoma" w:hAnsi="Tahoma" w:cs="Tahoma"/>
          <w:sz w:val="24"/>
          <w:szCs w:val="24"/>
        </w:rPr>
      </w:pPr>
      <w:r w:rsidRPr="005B0AAA">
        <w:rPr>
          <w:rFonts w:ascii="Tahoma" w:hAnsi="Tahoma" w:cs="Tahoma"/>
          <w:sz w:val="24"/>
          <w:szCs w:val="24"/>
        </w:rPr>
        <w:t>This data will be analysed and based on the results we plan to use the following interventions to improve education rates:</w:t>
      </w:r>
    </w:p>
    <w:p w14:paraId="41673895" w14:textId="77777777" w:rsidR="005B0AAA" w:rsidRPr="005B0AAA" w:rsidRDefault="005B0AAA" w:rsidP="009A7B0C">
      <w:pPr>
        <w:pStyle w:val="ListParagraph"/>
        <w:numPr>
          <w:ilvl w:val="0"/>
          <w:numId w:val="2"/>
        </w:numPr>
        <w:spacing w:after="0" w:line="240" w:lineRule="auto"/>
        <w:jc w:val="both"/>
        <w:rPr>
          <w:rFonts w:ascii="Tahoma" w:hAnsi="Tahoma" w:cs="Tahoma"/>
          <w:sz w:val="24"/>
          <w:szCs w:val="24"/>
        </w:rPr>
      </w:pPr>
      <w:r w:rsidRPr="005B0AAA">
        <w:rPr>
          <w:rFonts w:ascii="Tahoma" w:hAnsi="Tahoma" w:cs="Tahoma"/>
          <w:sz w:val="24"/>
          <w:szCs w:val="24"/>
        </w:rPr>
        <w:t xml:space="preserve">Run education sessions for healthcare professionals </w:t>
      </w:r>
    </w:p>
    <w:p w14:paraId="2FF285BF" w14:textId="77777777" w:rsidR="005B0AAA" w:rsidRPr="005B0AAA" w:rsidRDefault="005B0AAA" w:rsidP="009A7B0C">
      <w:pPr>
        <w:pStyle w:val="ListParagraph"/>
        <w:numPr>
          <w:ilvl w:val="0"/>
          <w:numId w:val="2"/>
        </w:numPr>
        <w:spacing w:after="0" w:line="240" w:lineRule="auto"/>
        <w:jc w:val="both"/>
        <w:rPr>
          <w:rFonts w:ascii="Tahoma" w:hAnsi="Tahoma" w:cs="Tahoma"/>
          <w:sz w:val="24"/>
          <w:szCs w:val="24"/>
        </w:rPr>
      </w:pPr>
      <w:r w:rsidRPr="005B0AAA">
        <w:rPr>
          <w:rFonts w:ascii="Tahoma" w:hAnsi="Tahoma" w:cs="Tahoma"/>
          <w:sz w:val="24"/>
          <w:szCs w:val="24"/>
        </w:rPr>
        <w:t xml:space="preserve">Make alert cards readily available </w:t>
      </w:r>
    </w:p>
    <w:p w14:paraId="0601AD28" w14:textId="77777777" w:rsidR="005B0AAA" w:rsidRPr="005B0AAA" w:rsidRDefault="005B0AAA" w:rsidP="009A7B0C">
      <w:pPr>
        <w:pStyle w:val="ListParagraph"/>
        <w:numPr>
          <w:ilvl w:val="0"/>
          <w:numId w:val="2"/>
        </w:numPr>
        <w:spacing w:after="0" w:line="240" w:lineRule="auto"/>
        <w:jc w:val="both"/>
        <w:rPr>
          <w:rFonts w:ascii="Tahoma" w:hAnsi="Tahoma" w:cs="Tahoma"/>
          <w:sz w:val="24"/>
          <w:szCs w:val="24"/>
        </w:rPr>
      </w:pPr>
      <w:r w:rsidRPr="005B0AAA">
        <w:rPr>
          <w:rFonts w:ascii="Tahoma" w:hAnsi="Tahoma" w:cs="Tahoma"/>
          <w:sz w:val="24"/>
          <w:szCs w:val="24"/>
        </w:rPr>
        <w:t xml:space="preserve">Create a guideline for CTM for managing patients on long term steroids </w:t>
      </w:r>
    </w:p>
    <w:p w14:paraId="095C96ED" w14:textId="1EB8092E" w:rsidR="005B0AAA" w:rsidRDefault="005B0AAA" w:rsidP="009A7B0C">
      <w:pPr>
        <w:spacing w:after="0" w:line="240" w:lineRule="auto"/>
        <w:jc w:val="both"/>
        <w:rPr>
          <w:rFonts w:ascii="Tahoma" w:hAnsi="Tahoma" w:cs="Tahoma"/>
          <w:sz w:val="24"/>
          <w:szCs w:val="24"/>
        </w:rPr>
      </w:pPr>
      <w:r w:rsidRPr="005B0AAA">
        <w:rPr>
          <w:rFonts w:ascii="Tahoma" w:hAnsi="Tahoma" w:cs="Tahoma"/>
          <w:sz w:val="24"/>
          <w:szCs w:val="24"/>
        </w:rPr>
        <w:t xml:space="preserve">We plan to repeat surveys within practices approximately six months after the original survey to identify improvements in education rates. </w:t>
      </w:r>
    </w:p>
    <w:p w14:paraId="1544DCE4" w14:textId="77777777" w:rsidR="00861A7A" w:rsidRPr="005B0AAA" w:rsidRDefault="00861A7A" w:rsidP="009A7B0C">
      <w:pPr>
        <w:spacing w:after="0" w:line="240" w:lineRule="auto"/>
        <w:jc w:val="both"/>
        <w:rPr>
          <w:rFonts w:ascii="Tahoma" w:hAnsi="Tahoma" w:cs="Tahoma"/>
          <w:sz w:val="24"/>
          <w:szCs w:val="24"/>
        </w:rPr>
      </w:pPr>
    </w:p>
    <w:p w14:paraId="4057F00F" w14:textId="77777777" w:rsidR="005B0AAA" w:rsidRPr="005B0AAA" w:rsidRDefault="005B0AAA" w:rsidP="009A7B0C">
      <w:pPr>
        <w:spacing w:after="0" w:line="240" w:lineRule="auto"/>
        <w:jc w:val="both"/>
        <w:rPr>
          <w:rFonts w:ascii="Tahoma" w:hAnsi="Tahoma" w:cs="Tahoma"/>
          <w:sz w:val="24"/>
          <w:szCs w:val="24"/>
        </w:rPr>
      </w:pPr>
      <w:r w:rsidRPr="005B0AAA">
        <w:rPr>
          <w:rFonts w:ascii="Tahoma" w:hAnsi="Tahoma" w:cs="Tahoma"/>
          <w:b/>
          <w:bCs/>
          <w:sz w:val="24"/>
          <w:szCs w:val="24"/>
        </w:rPr>
        <w:t>Inclusion Criteria</w:t>
      </w:r>
      <w:r w:rsidRPr="005B0AAA">
        <w:rPr>
          <w:rFonts w:ascii="Tahoma" w:hAnsi="Tahoma" w:cs="Tahoma"/>
          <w:sz w:val="24"/>
          <w:szCs w:val="24"/>
        </w:rPr>
        <w:t xml:space="preserve">- any patients taking any of the following medicines:  </w:t>
      </w:r>
    </w:p>
    <w:p w14:paraId="08A152E2" w14:textId="77777777" w:rsidR="005B0AAA" w:rsidRPr="005B0AAA" w:rsidRDefault="005B0AAA" w:rsidP="009A7B0C">
      <w:pPr>
        <w:numPr>
          <w:ilvl w:val="0"/>
          <w:numId w:val="1"/>
        </w:numPr>
        <w:spacing w:after="0" w:line="240" w:lineRule="auto"/>
        <w:jc w:val="both"/>
        <w:rPr>
          <w:rFonts w:ascii="Tahoma" w:hAnsi="Tahoma" w:cs="Tahoma"/>
          <w:sz w:val="24"/>
          <w:szCs w:val="24"/>
        </w:rPr>
      </w:pPr>
      <w:r w:rsidRPr="005B0AAA">
        <w:rPr>
          <w:rFonts w:ascii="Tahoma" w:hAnsi="Tahoma" w:cs="Tahoma"/>
          <w:sz w:val="24"/>
          <w:szCs w:val="24"/>
        </w:rPr>
        <w:t xml:space="preserve">Oral Prednisolone – all strengths </w:t>
      </w:r>
    </w:p>
    <w:p w14:paraId="2FF55D01" w14:textId="77777777" w:rsidR="005B0AAA" w:rsidRPr="005B0AAA" w:rsidRDefault="005B0AAA" w:rsidP="009A7B0C">
      <w:pPr>
        <w:numPr>
          <w:ilvl w:val="0"/>
          <w:numId w:val="1"/>
        </w:numPr>
        <w:spacing w:after="0" w:line="240" w:lineRule="auto"/>
        <w:jc w:val="both"/>
        <w:rPr>
          <w:rFonts w:ascii="Tahoma" w:hAnsi="Tahoma" w:cs="Tahoma"/>
          <w:sz w:val="24"/>
          <w:szCs w:val="24"/>
        </w:rPr>
      </w:pPr>
      <w:r w:rsidRPr="005B0AAA">
        <w:rPr>
          <w:rFonts w:ascii="Tahoma" w:hAnsi="Tahoma" w:cs="Tahoma"/>
          <w:sz w:val="24"/>
          <w:szCs w:val="24"/>
        </w:rPr>
        <w:t xml:space="preserve">Oral Hydrocortisone – all strengths including MR Plenadren brand </w:t>
      </w:r>
    </w:p>
    <w:p w14:paraId="72FDABFA" w14:textId="77777777" w:rsidR="005B0AAA" w:rsidRPr="005B0AAA" w:rsidRDefault="005B0AAA" w:rsidP="009A7B0C">
      <w:pPr>
        <w:numPr>
          <w:ilvl w:val="0"/>
          <w:numId w:val="1"/>
        </w:numPr>
        <w:spacing w:after="0" w:line="240" w:lineRule="auto"/>
        <w:jc w:val="both"/>
        <w:rPr>
          <w:rFonts w:ascii="Tahoma" w:hAnsi="Tahoma" w:cs="Tahoma"/>
          <w:sz w:val="24"/>
          <w:szCs w:val="24"/>
        </w:rPr>
      </w:pPr>
      <w:r w:rsidRPr="005B0AAA">
        <w:rPr>
          <w:rFonts w:ascii="Tahoma" w:hAnsi="Tahoma" w:cs="Tahoma"/>
          <w:sz w:val="24"/>
          <w:szCs w:val="24"/>
        </w:rPr>
        <w:t xml:space="preserve">Oral Budesonide </w:t>
      </w:r>
    </w:p>
    <w:p w14:paraId="1DE90000" w14:textId="77777777" w:rsidR="00861A7A" w:rsidRDefault="005B0AAA" w:rsidP="009A7B0C">
      <w:pPr>
        <w:numPr>
          <w:ilvl w:val="0"/>
          <w:numId w:val="1"/>
        </w:numPr>
        <w:spacing w:after="0" w:line="240" w:lineRule="auto"/>
        <w:jc w:val="both"/>
        <w:rPr>
          <w:rFonts w:ascii="Tahoma" w:hAnsi="Tahoma" w:cs="Tahoma"/>
          <w:sz w:val="24"/>
          <w:szCs w:val="24"/>
        </w:rPr>
      </w:pPr>
      <w:r w:rsidRPr="005B0AAA">
        <w:rPr>
          <w:rFonts w:ascii="Tahoma" w:hAnsi="Tahoma" w:cs="Tahoma"/>
          <w:sz w:val="24"/>
          <w:szCs w:val="24"/>
        </w:rPr>
        <w:t>Inhaled corticosteroids as specified in the table below (taken from the society for Endocrinology/SPS document on exogenous steroid treatment in adults)</w:t>
      </w:r>
    </w:p>
    <w:p w14:paraId="08BB9401" w14:textId="0DDACCA1" w:rsidR="005B0AAA" w:rsidRPr="005B0AAA" w:rsidRDefault="005B0AAA" w:rsidP="009A7B0C">
      <w:pPr>
        <w:spacing w:after="0" w:line="240" w:lineRule="auto"/>
        <w:ind w:left="405"/>
        <w:jc w:val="both"/>
        <w:rPr>
          <w:rFonts w:ascii="Tahoma" w:hAnsi="Tahoma" w:cs="Tahoma"/>
          <w:sz w:val="24"/>
          <w:szCs w:val="24"/>
        </w:rPr>
      </w:pPr>
      <w:r w:rsidRPr="005B0AAA">
        <w:rPr>
          <w:rFonts w:ascii="Tahoma" w:hAnsi="Tahoma" w:cs="Tahoma"/>
          <w:sz w:val="24"/>
          <w:szCs w:val="24"/>
        </w:rPr>
        <w:t xml:space="preserve"> </w:t>
      </w:r>
    </w:p>
    <w:p w14:paraId="06DD9A2B" w14:textId="77777777" w:rsidR="00861A7A" w:rsidRPr="00861A7A" w:rsidRDefault="00861A7A" w:rsidP="009A7B0C">
      <w:pPr>
        <w:spacing w:after="0" w:line="240" w:lineRule="auto"/>
        <w:jc w:val="both"/>
        <w:rPr>
          <w:rFonts w:ascii="Tahoma" w:hAnsi="Tahoma" w:cs="Tahoma"/>
          <w:b/>
          <w:bCs/>
          <w:sz w:val="24"/>
          <w:szCs w:val="24"/>
        </w:rPr>
      </w:pPr>
      <w:r w:rsidRPr="00861A7A">
        <w:rPr>
          <w:rFonts w:ascii="Tahoma" w:hAnsi="Tahoma" w:cs="Tahoma"/>
          <w:b/>
          <w:bCs/>
          <w:sz w:val="24"/>
          <w:szCs w:val="24"/>
        </w:rPr>
        <w:t xml:space="preserve">Exclusion criteria: </w:t>
      </w:r>
    </w:p>
    <w:p w14:paraId="7E702A33" w14:textId="77777777" w:rsidR="00861A7A" w:rsidRPr="00861A7A" w:rsidRDefault="00861A7A" w:rsidP="009A7B0C">
      <w:pPr>
        <w:pStyle w:val="ListParagraph"/>
        <w:numPr>
          <w:ilvl w:val="0"/>
          <w:numId w:val="3"/>
        </w:numPr>
        <w:spacing w:after="0" w:line="240" w:lineRule="auto"/>
        <w:jc w:val="both"/>
        <w:rPr>
          <w:rFonts w:ascii="Tahoma" w:hAnsi="Tahoma" w:cs="Tahoma"/>
          <w:sz w:val="24"/>
          <w:szCs w:val="24"/>
        </w:rPr>
      </w:pPr>
      <w:r w:rsidRPr="00861A7A">
        <w:rPr>
          <w:rFonts w:ascii="Tahoma" w:hAnsi="Tahoma" w:cs="Tahoma"/>
          <w:sz w:val="24"/>
          <w:szCs w:val="24"/>
        </w:rPr>
        <w:t>Patients with terminal disease.</w:t>
      </w:r>
    </w:p>
    <w:p w14:paraId="300FEAC7" w14:textId="77777777" w:rsidR="00861A7A" w:rsidRPr="00861A7A" w:rsidRDefault="00861A7A" w:rsidP="009A7B0C">
      <w:pPr>
        <w:pStyle w:val="ListParagraph"/>
        <w:numPr>
          <w:ilvl w:val="0"/>
          <w:numId w:val="3"/>
        </w:numPr>
        <w:spacing w:after="0" w:line="240" w:lineRule="auto"/>
        <w:jc w:val="both"/>
        <w:rPr>
          <w:rFonts w:ascii="Tahoma" w:hAnsi="Tahoma" w:cs="Tahoma"/>
          <w:sz w:val="24"/>
          <w:szCs w:val="24"/>
        </w:rPr>
      </w:pPr>
      <w:r w:rsidRPr="00861A7A">
        <w:rPr>
          <w:rFonts w:ascii="Tahoma" w:hAnsi="Tahoma" w:cs="Tahoma"/>
          <w:sz w:val="24"/>
          <w:szCs w:val="24"/>
        </w:rPr>
        <w:t xml:space="preserve">Cognitive decline/dementia/Learning disability  </w:t>
      </w:r>
    </w:p>
    <w:p w14:paraId="6DAE9EB2" w14:textId="77777777" w:rsidR="00861A7A" w:rsidRPr="00861A7A" w:rsidRDefault="00861A7A" w:rsidP="009A7B0C">
      <w:pPr>
        <w:pStyle w:val="ListParagraph"/>
        <w:numPr>
          <w:ilvl w:val="0"/>
          <w:numId w:val="3"/>
        </w:numPr>
        <w:spacing w:after="0" w:line="240" w:lineRule="auto"/>
        <w:jc w:val="both"/>
        <w:rPr>
          <w:rFonts w:ascii="Tahoma" w:hAnsi="Tahoma" w:cs="Tahoma"/>
          <w:sz w:val="24"/>
          <w:szCs w:val="24"/>
        </w:rPr>
      </w:pPr>
      <w:r w:rsidRPr="00861A7A">
        <w:rPr>
          <w:rFonts w:ascii="Tahoma" w:hAnsi="Tahoma" w:cs="Tahoma"/>
          <w:sz w:val="24"/>
          <w:szCs w:val="24"/>
        </w:rPr>
        <w:t>Non-English speaking (we may look to translate survey in the future)</w:t>
      </w:r>
    </w:p>
    <w:p w14:paraId="41CCDAF5" w14:textId="77777777" w:rsidR="00312351" w:rsidRPr="00312351" w:rsidRDefault="00312351" w:rsidP="009A7B0C">
      <w:pPr>
        <w:spacing w:after="0" w:line="240" w:lineRule="auto"/>
        <w:jc w:val="both"/>
        <w:rPr>
          <w:rFonts w:ascii="Tahoma" w:hAnsi="Tahoma" w:cs="Tahoma"/>
          <w:sz w:val="24"/>
          <w:szCs w:val="24"/>
        </w:rPr>
      </w:pPr>
    </w:p>
    <w:p w14:paraId="335C0979" w14:textId="0EB1CCBB" w:rsidR="001D73FB" w:rsidRDefault="001D73FB" w:rsidP="009A7B0C">
      <w:pPr>
        <w:spacing w:after="0" w:line="240" w:lineRule="auto"/>
        <w:jc w:val="both"/>
        <w:rPr>
          <w:rFonts w:ascii="Tahoma" w:hAnsi="Tahoma" w:cs="Tahoma"/>
          <w:b/>
          <w:bCs/>
          <w:sz w:val="24"/>
          <w:szCs w:val="24"/>
        </w:rPr>
      </w:pPr>
      <w:r>
        <w:rPr>
          <w:rFonts w:ascii="Tahoma" w:hAnsi="Tahoma" w:cs="Tahoma"/>
          <w:b/>
          <w:bCs/>
          <w:sz w:val="24"/>
          <w:szCs w:val="24"/>
        </w:rPr>
        <w:t>Results:</w:t>
      </w:r>
    </w:p>
    <w:p w14:paraId="4455E66E" w14:textId="77777777" w:rsidR="00861A7A" w:rsidRPr="00861A7A" w:rsidRDefault="00861A7A" w:rsidP="009A7B0C">
      <w:pPr>
        <w:spacing w:line="240" w:lineRule="auto"/>
        <w:jc w:val="both"/>
        <w:rPr>
          <w:rFonts w:ascii="Tahoma" w:hAnsi="Tahoma" w:cs="Tahoma"/>
          <w:sz w:val="24"/>
          <w:szCs w:val="24"/>
        </w:rPr>
      </w:pPr>
      <w:r w:rsidRPr="00861A7A">
        <w:rPr>
          <w:rFonts w:ascii="Tahoma" w:hAnsi="Tahoma" w:cs="Tahoma"/>
          <w:sz w:val="24"/>
          <w:szCs w:val="24"/>
        </w:rPr>
        <w:t xml:space="preserve">Expected Impact of the study: </w:t>
      </w:r>
    </w:p>
    <w:p w14:paraId="2E75D6F4" w14:textId="77777777" w:rsidR="00861A7A" w:rsidRPr="00861A7A" w:rsidRDefault="00861A7A" w:rsidP="009A7B0C">
      <w:pPr>
        <w:numPr>
          <w:ilvl w:val="0"/>
          <w:numId w:val="4"/>
        </w:numPr>
        <w:spacing w:line="240" w:lineRule="auto"/>
        <w:jc w:val="both"/>
        <w:rPr>
          <w:rFonts w:ascii="Tahoma" w:hAnsi="Tahoma" w:cs="Tahoma"/>
          <w:sz w:val="24"/>
          <w:szCs w:val="24"/>
        </w:rPr>
      </w:pPr>
      <w:r w:rsidRPr="00861A7A">
        <w:rPr>
          <w:rFonts w:ascii="Tahoma" w:hAnsi="Tahoma" w:cs="Tahoma"/>
          <w:sz w:val="24"/>
          <w:szCs w:val="24"/>
        </w:rPr>
        <w:t>Improved education amongst patients on steroid sick day rules. The survey findings will support the design of a simple consistent educational package for patients on long term steroids which will be implemented at the initiation of steroid therapy and reinforced at subsequent clinical encounters throughout CTM.</w:t>
      </w:r>
    </w:p>
    <w:p w14:paraId="79C41E49" w14:textId="77777777" w:rsidR="00861A7A" w:rsidRPr="00861A7A" w:rsidRDefault="00861A7A" w:rsidP="009A7B0C">
      <w:pPr>
        <w:numPr>
          <w:ilvl w:val="0"/>
          <w:numId w:val="4"/>
        </w:numPr>
        <w:spacing w:line="240" w:lineRule="auto"/>
        <w:jc w:val="both"/>
        <w:rPr>
          <w:rFonts w:ascii="Tahoma" w:hAnsi="Tahoma" w:cs="Tahoma"/>
          <w:sz w:val="24"/>
          <w:szCs w:val="24"/>
        </w:rPr>
      </w:pPr>
      <w:r w:rsidRPr="00861A7A">
        <w:rPr>
          <w:rFonts w:ascii="Tahoma" w:hAnsi="Tahoma" w:cs="Tahoma"/>
          <w:sz w:val="24"/>
          <w:szCs w:val="24"/>
        </w:rPr>
        <w:t>Reduced admissions to hospital due to adrenal crisis.</w:t>
      </w:r>
    </w:p>
    <w:p w14:paraId="73CAD9F1" w14:textId="77777777" w:rsidR="00861A7A" w:rsidRPr="00861A7A" w:rsidRDefault="00861A7A" w:rsidP="009A7B0C">
      <w:pPr>
        <w:numPr>
          <w:ilvl w:val="0"/>
          <w:numId w:val="4"/>
        </w:numPr>
        <w:spacing w:line="240" w:lineRule="auto"/>
        <w:jc w:val="both"/>
        <w:rPr>
          <w:rFonts w:ascii="Tahoma" w:hAnsi="Tahoma" w:cs="Tahoma"/>
          <w:sz w:val="24"/>
          <w:szCs w:val="24"/>
        </w:rPr>
      </w:pPr>
      <w:r w:rsidRPr="00861A7A">
        <w:rPr>
          <w:rFonts w:ascii="Tahoma" w:hAnsi="Tahoma" w:cs="Tahoma"/>
          <w:sz w:val="24"/>
          <w:szCs w:val="24"/>
        </w:rPr>
        <w:t xml:space="preserve">Patients are educated appropriately at initial point of contact in line with NPSA/NICE guidance. </w:t>
      </w:r>
    </w:p>
    <w:p w14:paraId="79D016C6" w14:textId="1C4A0DA2" w:rsidR="001D73FB" w:rsidRDefault="001D73FB" w:rsidP="009A7B0C">
      <w:pPr>
        <w:spacing w:after="0" w:line="240" w:lineRule="auto"/>
        <w:jc w:val="both"/>
        <w:rPr>
          <w:rFonts w:ascii="Tahoma" w:hAnsi="Tahoma" w:cs="Tahoma"/>
          <w:b/>
          <w:bCs/>
          <w:sz w:val="24"/>
          <w:szCs w:val="24"/>
        </w:rPr>
      </w:pPr>
      <w:r>
        <w:rPr>
          <w:rFonts w:ascii="Tahoma" w:hAnsi="Tahoma" w:cs="Tahoma"/>
          <w:b/>
          <w:bCs/>
          <w:sz w:val="24"/>
          <w:szCs w:val="24"/>
        </w:rPr>
        <w:t>Conclusion:</w:t>
      </w:r>
    </w:p>
    <w:p w14:paraId="5FF9D2B8" w14:textId="0E15D901" w:rsidR="00861A7A" w:rsidRDefault="00847B93" w:rsidP="009A7B0C">
      <w:pPr>
        <w:spacing w:after="0" w:line="240" w:lineRule="auto"/>
        <w:jc w:val="both"/>
        <w:rPr>
          <w:rFonts w:ascii="Tahoma" w:hAnsi="Tahoma" w:cs="Tahoma"/>
          <w:b/>
          <w:bCs/>
          <w:sz w:val="24"/>
          <w:szCs w:val="24"/>
        </w:rPr>
      </w:pPr>
      <w:sdt>
        <w:sdtPr>
          <w:rPr>
            <w:rFonts w:ascii="Tahoma" w:hAnsi="Tahoma" w:cs="Tahoma"/>
            <w:sz w:val="24"/>
            <w:szCs w:val="24"/>
          </w:rPr>
          <w:id w:val="1710290598"/>
          <w:placeholder>
            <w:docPart w:val="A8E043EF2B0946ED9D92514B3A2757AD"/>
          </w:placeholder>
          <w:text/>
        </w:sdtPr>
        <w:sdtEndPr/>
        <w:sdtContent>
          <w:r w:rsidR="00861A7A" w:rsidRPr="00861A7A">
            <w:rPr>
              <w:rFonts w:ascii="Tahoma" w:hAnsi="Tahoma" w:cs="Tahoma"/>
              <w:sz w:val="24"/>
              <w:szCs w:val="24"/>
            </w:rPr>
            <w:t xml:space="preserve">Study is ongoing </w:t>
          </w:r>
        </w:sdtContent>
      </w:sdt>
    </w:p>
    <w:sectPr w:rsidR="00861A7A"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9661B5"/>
    <w:multiLevelType w:val="hybridMultilevel"/>
    <w:tmpl w:val="6ABC2A70"/>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1" w15:restartNumberingAfterBreak="0">
    <w:nsid w:val="3CF967E0"/>
    <w:multiLevelType w:val="hybridMultilevel"/>
    <w:tmpl w:val="8E1673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EB42F46"/>
    <w:multiLevelType w:val="hybridMultilevel"/>
    <w:tmpl w:val="86B2EB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3A328B0"/>
    <w:multiLevelType w:val="hybridMultilevel"/>
    <w:tmpl w:val="65446F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A84"/>
    <w:rsid w:val="000114E7"/>
    <w:rsid w:val="001300DE"/>
    <w:rsid w:val="00194A45"/>
    <w:rsid w:val="00194EDE"/>
    <w:rsid w:val="001D73FB"/>
    <w:rsid w:val="00312351"/>
    <w:rsid w:val="003378B3"/>
    <w:rsid w:val="00400A84"/>
    <w:rsid w:val="005B0AAA"/>
    <w:rsid w:val="0073698D"/>
    <w:rsid w:val="00776A0C"/>
    <w:rsid w:val="0084790E"/>
    <w:rsid w:val="00847B93"/>
    <w:rsid w:val="00861A7A"/>
    <w:rsid w:val="00957516"/>
    <w:rsid w:val="009A7B0C"/>
    <w:rsid w:val="00A70F30"/>
    <w:rsid w:val="00AC3303"/>
    <w:rsid w:val="00D12D23"/>
    <w:rsid w:val="00DB03CE"/>
    <w:rsid w:val="00E0156E"/>
    <w:rsid w:val="00E065C5"/>
    <w:rsid w:val="00E472B1"/>
    <w:rsid w:val="00EF0E17"/>
    <w:rsid w:val="00F057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B0AAA"/>
    <w:pPr>
      <w:ind w:left="720"/>
      <w:contextualSpacing/>
    </w:pPr>
  </w:style>
  <w:style w:type="paragraph" w:styleId="CommentText">
    <w:name w:val="annotation text"/>
    <w:basedOn w:val="Normal"/>
    <w:link w:val="CommentTextChar"/>
    <w:rsid w:val="005B0AAA"/>
    <w:pPr>
      <w:spacing w:after="0" w:line="240" w:lineRule="auto"/>
    </w:pPr>
    <w:rPr>
      <w:rFonts w:ascii="Calibri" w:eastAsia="Times New Roman" w:hAnsi="Calibri" w:cs="Times New Roman"/>
      <w:sz w:val="20"/>
      <w:szCs w:val="20"/>
      <w:lang w:eastAsia="en-GB"/>
    </w:rPr>
  </w:style>
  <w:style w:type="character" w:customStyle="1" w:styleId="CommentTextChar">
    <w:name w:val="Comment Text Char"/>
    <w:basedOn w:val="DefaultParagraphFont"/>
    <w:link w:val="CommentText"/>
    <w:rsid w:val="005B0AAA"/>
    <w:rPr>
      <w:rFonts w:ascii="Calibri" w:eastAsia="Times New Roman" w:hAnsi="Calibri" w:cs="Times New Roman"/>
      <w:sz w:val="20"/>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4FB6DE460FFA494687E5EAF48D541B31"/>
        <w:category>
          <w:name w:val="General"/>
          <w:gallery w:val="placeholder"/>
        </w:category>
        <w:types>
          <w:type w:val="bbPlcHdr"/>
        </w:types>
        <w:behaviors>
          <w:behavior w:val="content"/>
        </w:behaviors>
        <w:guid w:val="{B2D9BEF7-73F9-4D39-B037-124E52448877}"/>
      </w:docPartPr>
      <w:docPartBody>
        <w:p w:rsidR="005957E6" w:rsidRDefault="00B6212C" w:rsidP="00B6212C">
          <w:pPr>
            <w:pStyle w:val="4FB6DE460FFA494687E5EAF48D541B31"/>
          </w:pPr>
          <w:r w:rsidRPr="00810C78">
            <w:rPr>
              <w:rStyle w:val="PlaceholderText"/>
            </w:rPr>
            <w:t>Click or tap here to enter text.</w:t>
          </w:r>
        </w:p>
      </w:docPartBody>
    </w:docPart>
    <w:docPart>
      <w:docPartPr>
        <w:name w:val="A8E043EF2B0946ED9D92514B3A2757AD"/>
        <w:category>
          <w:name w:val="General"/>
          <w:gallery w:val="placeholder"/>
        </w:category>
        <w:types>
          <w:type w:val="bbPlcHdr"/>
        </w:types>
        <w:behaviors>
          <w:behavior w:val="content"/>
        </w:behaviors>
        <w:guid w:val="{40A4913B-07AA-4820-A9CE-0B014F805647}"/>
      </w:docPartPr>
      <w:docPartBody>
        <w:p w:rsidR="005957E6" w:rsidRDefault="00B6212C" w:rsidP="00B6212C">
          <w:pPr>
            <w:pStyle w:val="A8E043EF2B0946ED9D92514B3A2757AD"/>
          </w:pPr>
          <w:r w:rsidRPr="00810C78">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212C"/>
    <w:rsid w:val="005957E6"/>
    <w:rsid w:val="00B6212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6212C"/>
    <w:rPr>
      <w:color w:val="808080"/>
    </w:rPr>
  </w:style>
  <w:style w:type="paragraph" w:customStyle="1" w:styleId="4FB6DE460FFA494687E5EAF48D541B31">
    <w:name w:val="4FB6DE460FFA494687E5EAF48D541B31"/>
    <w:rsid w:val="00B6212C"/>
  </w:style>
  <w:style w:type="paragraph" w:customStyle="1" w:styleId="A8E043EF2B0946ED9D92514B3A2757AD">
    <w:name w:val="A8E043EF2B0946ED9D92514B3A2757AD"/>
    <w:rsid w:val="00B6212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682</Words>
  <Characters>3894</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3</cp:revision>
  <dcterms:created xsi:type="dcterms:W3CDTF">2024-11-12T15:46:00Z</dcterms:created>
  <dcterms:modified xsi:type="dcterms:W3CDTF">2024-11-15T12:37:00Z</dcterms:modified>
</cp:coreProperties>
</file>