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85149D0"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6E753C">
        <w:rPr>
          <w:rFonts w:ascii="Tahoma" w:hAnsi="Tahoma" w:cs="Tahoma"/>
          <w:b/>
          <w:bCs/>
          <w:noProof/>
          <w:color w:val="32598A"/>
          <w:sz w:val="28"/>
          <w:szCs w:val="28"/>
        </w:rPr>
        <w:t xml:space="preserve"> 8</w:t>
      </w:r>
    </w:p>
    <w:p w14:paraId="70742FA4" w14:textId="612494F0" w:rsidR="004339A0" w:rsidRDefault="006E753C" w:rsidP="00E0156E">
      <w:pPr>
        <w:spacing w:after="0"/>
        <w:rPr>
          <w:rFonts w:ascii="Tahoma" w:hAnsi="Tahoma" w:cs="Tahoma"/>
          <w:sz w:val="24"/>
          <w:szCs w:val="24"/>
        </w:rPr>
      </w:pPr>
      <w:sdt>
        <w:sdtPr>
          <w:rPr>
            <w:rFonts w:ascii="Tahoma" w:hAnsi="Tahoma" w:cs="Tahoma"/>
            <w:sz w:val="24"/>
            <w:szCs w:val="24"/>
          </w:rPr>
          <w:id w:val="495000437"/>
          <w:placeholder>
            <w:docPart w:val="90008E1A8CA043E3ADE7211E4269C416"/>
          </w:placeholder>
          <w:text/>
        </w:sdtPr>
        <w:sdtEndPr/>
        <w:sdtContent>
          <w:r w:rsidR="004339A0" w:rsidRPr="00E937E7">
            <w:rPr>
              <w:rFonts w:ascii="Tahoma" w:hAnsi="Tahoma" w:cs="Tahoma"/>
              <w:sz w:val="24"/>
              <w:szCs w:val="24"/>
            </w:rPr>
            <w:t>DESTINY D-Dimer: A feasibility study evaluating the prognostic and logistic value of measuring D-dimer levels in Primary Care using POC tests.</w:t>
          </w:r>
        </w:sdtContent>
      </w:sdt>
    </w:p>
    <w:p w14:paraId="5372B099" w14:textId="77777777" w:rsidR="004339A0" w:rsidRPr="00F3560A" w:rsidRDefault="004339A0" w:rsidP="00E0156E">
      <w:pPr>
        <w:spacing w:after="0"/>
        <w:rPr>
          <w:rFonts w:ascii="Tahoma" w:hAnsi="Tahoma" w:cs="Tahoma"/>
          <w:b/>
          <w:bCs/>
          <w:noProof/>
          <w:color w:val="32598A"/>
          <w:sz w:val="16"/>
          <w:szCs w:val="16"/>
        </w:rPr>
      </w:pPr>
    </w:p>
    <w:p w14:paraId="5CFA3287" w14:textId="18D4A45E" w:rsidR="003378B3" w:rsidRPr="004339A0"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4339A0" w:rsidRPr="004339A0">
        <w:rPr>
          <w:rFonts w:ascii="Tahoma" w:hAnsi="Tahoma" w:cs="Tahoma"/>
          <w:noProof/>
          <w:sz w:val="24"/>
          <w:szCs w:val="24"/>
        </w:rPr>
        <w:t>Arrow</w:t>
      </w:r>
      <w:r w:rsidR="00411208">
        <w:rPr>
          <w:rFonts w:ascii="Tahoma" w:hAnsi="Tahoma" w:cs="Tahoma"/>
          <w:noProof/>
          <w:sz w:val="24"/>
          <w:szCs w:val="24"/>
        </w:rPr>
        <w:t>s</w:t>
      </w:r>
      <w:r w:rsidR="004339A0" w:rsidRPr="004339A0">
        <w:rPr>
          <w:rFonts w:ascii="Tahoma" w:hAnsi="Tahoma" w:cs="Tahoma"/>
          <w:noProof/>
          <w:sz w:val="24"/>
          <w:szCs w:val="24"/>
        </w:rPr>
        <w:t>mith</w:t>
      </w:r>
      <w:r w:rsidR="00411208">
        <w:rPr>
          <w:rFonts w:ascii="Tahoma" w:hAnsi="Tahoma" w:cs="Tahoma"/>
          <w:noProof/>
          <w:sz w:val="24"/>
          <w:szCs w:val="24"/>
        </w:rPr>
        <w:t>-Hill</w:t>
      </w:r>
      <w:r w:rsidR="004339A0" w:rsidRPr="004339A0">
        <w:rPr>
          <w:rFonts w:ascii="Tahoma" w:hAnsi="Tahoma" w:cs="Tahoma"/>
          <w:noProof/>
          <w:sz w:val="24"/>
          <w:szCs w:val="24"/>
        </w:rPr>
        <w:t>,</w:t>
      </w:r>
      <w:r w:rsidR="004339A0">
        <w:rPr>
          <w:rFonts w:ascii="Tahoma" w:hAnsi="Tahoma" w:cs="Tahoma"/>
          <w:noProof/>
          <w:sz w:val="24"/>
          <w:szCs w:val="24"/>
        </w:rPr>
        <w:t xml:space="preserve"> L</w:t>
      </w:r>
      <w:r w:rsidR="004339A0">
        <w:rPr>
          <w:rFonts w:ascii="Tahoma" w:hAnsi="Tahoma" w:cs="Tahoma"/>
          <w:noProof/>
          <w:sz w:val="24"/>
          <w:szCs w:val="24"/>
          <w:vertAlign w:val="superscript"/>
        </w:rPr>
        <w:t>1</w:t>
      </w:r>
      <w:r w:rsidR="004339A0">
        <w:rPr>
          <w:rFonts w:ascii="Tahoma" w:hAnsi="Tahoma" w:cs="Tahoma"/>
          <w:noProof/>
          <w:sz w:val="24"/>
          <w:szCs w:val="24"/>
        </w:rPr>
        <w:t>., Wallace, C</w:t>
      </w:r>
      <w:r w:rsidR="004339A0">
        <w:rPr>
          <w:rFonts w:ascii="Tahoma" w:hAnsi="Tahoma" w:cs="Tahoma"/>
          <w:noProof/>
          <w:sz w:val="24"/>
          <w:szCs w:val="24"/>
          <w:vertAlign w:val="superscript"/>
        </w:rPr>
        <w:t>1</w:t>
      </w:r>
      <w:r w:rsidR="004339A0">
        <w:rPr>
          <w:rFonts w:ascii="Tahoma" w:hAnsi="Tahoma" w:cs="Tahoma"/>
          <w:noProof/>
          <w:sz w:val="24"/>
          <w:szCs w:val="24"/>
        </w:rPr>
        <w:t>., New, K</w:t>
      </w:r>
      <w:r w:rsidR="004339A0">
        <w:rPr>
          <w:rFonts w:ascii="Tahoma" w:hAnsi="Tahoma" w:cs="Tahoma"/>
          <w:noProof/>
          <w:sz w:val="24"/>
          <w:szCs w:val="24"/>
          <w:vertAlign w:val="superscript"/>
        </w:rPr>
        <w:t>1</w:t>
      </w:r>
      <w:r w:rsidR="004339A0">
        <w:rPr>
          <w:rFonts w:ascii="Tahoma" w:hAnsi="Tahoma" w:cs="Tahoma"/>
          <w:noProof/>
          <w:sz w:val="24"/>
          <w:szCs w:val="24"/>
        </w:rPr>
        <w:t>., Geen, J</w:t>
      </w:r>
      <w:r w:rsidR="004339A0">
        <w:rPr>
          <w:rFonts w:ascii="Tahoma" w:hAnsi="Tahoma" w:cs="Tahoma"/>
          <w:noProof/>
          <w:sz w:val="24"/>
          <w:szCs w:val="24"/>
          <w:vertAlign w:val="superscript"/>
        </w:rPr>
        <w:t>2</w:t>
      </w:r>
      <w:r w:rsidR="004339A0">
        <w:rPr>
          <w:rFonts w:ascii="Tahoma" w:hAnsi="Tahoma" w:cs="Tahoma"/>
          <w:noProof/>
          <w:sz w:val="24"/>
          <w:szCs w:val="24"/>
        </w:rPr>
        <w:t>.</w:t>
      </w:r>
    </w:p>
    <w:p w14:paraId="0EF06F1D" w14:textId="42656D8B" w:rsidR="0073698D" w:rsidRPr="004339A0"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4339A0">
        <w:rPr>
          <w:rFonts w:ascii="Tahoma" w:hAnsi="Tahoma" w:cs="Tahoma"/>
          <w:b/>
          <w:bCs/>
          <w:noProof/>
          <w:color w:val="32598A"/>
          <w:sz w:val="28"/>
          <w:szCs w:val="28"/>
          <w:vertAlign w:val="superscript"/>
        </w:rPr>
        <w:t>1</w:t>
      </w:r>
      <w:r w:rsidR="004339A0" w:rsidRPr="004339A0">
        <w:rPr>
          <w:rFonts w:ascii="Tahoma" w:hAnsi="Tahoma" w:cs="Tahoma"/>
          <w:noProof/>
          <w:sz w:val="24"/>
          <w:szCs w:val="24"/>
        </w:rPr>
        <w:t>Faculty of Life Sciences &amp; Education</w:t>
      </w:r>
      <w:r w:rsidR="004339A0">
        <w:rPr>
          <w:rFonts w:ascii="Tahoma" w:hAnsi="Tahoma" w:cs="Tahoma"/>
          <w:noProof/>
          <w:sz w:val="24"/>
          <w:szCs w:val="24"/>
        </w:rPr>
        <w:t xml:space="preserve">, University of South Wales. </w:t>
      </w:r>
      <w:r w:rsidR="004339A0">
        <w:rPr>
          <w:rFonts w:ascii="Tahoma" w:hAnsi="Tahoma" w:cs="Tahoma"/>
          <w:noProof/>
          <w:sz w:val="24"/>
          <w:szCs w:val="24"/>
          <w:vertAlign w:val="superscript"/>
        </w:rPr>
        <w:t>2</w:t>
      </w:r>
      <w:r w:rsidR="004339A0">
        <w:rPr>
          <w:rFonts w:ascii="Tahoma" w:hAnsi="Tahoma" w:cs="Tahoma"/>
          <w:noProof/>
          <w:sz w:val="24"/>
          <w:szCs w:val="24"/>
        </w:rPr>
        <w:t xml:space="preserve"> Biochemistry Department, Cwm Taf </w:t>
      </w:r>
      <w:r w:rsidR="00631156">
        <w:rPr>
          <w:rFonts w:ascii="Tahoma" w:hAnsi="Tahoma" w:cs="Tahoma"/>
          <w:noProof/>
          <w:sz w:val="24"/>
          <w:szCs w:val="24"/>
        </w:rPr>
        <w:t xml:space="preserve">Morgannwg </w:t>
      </w:r>
      <w:r w:rsidR="004339A0">
        <w:rPr>
          <w:rFonts w:ascii="Tahoma" w:hAnsi="Tahoma" w:cs="Tahoma"/>
          <w:noProof/>
          <w:sz w:val="24"/>
          <w:szCs w:val="24"/>
        </w:rPr>
        <w:t>University Health Board</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F3560A">
      <w:pPr>
        <w:spacing w:after="0" w:line="240" w:lineRule="auto"/>
        <w:jc w:val="both"/>
        <w:rPr>
          <w:rFonts w:ascii="Tahoma" w:hAnsi="Tahoma" w:cs="Tahoma"/>
          <w:b/>
          <w:bCs/>
          <w:sz w:val="24"/>
          <w:szCs w:val="24"/>
        </w:rPr>
      </w:pPr>
      <w:r>
        <w:rPr>
          <w:rFonts w:ascii="Tahoma" w:hAnsi="Tahoma" w:cs="Tahoma"/>
          <w:b/>
          <w:bCs/>
          <w:sz w:val="24"/>
          <w:szCs w:val="24"/>
        </w:rPr>
        <w:t>Introduction:</w:t>
      </w:r>
    </w:p>
    <w:p w14:paraId="0FA27BE7" w14:textId="6B9BF182" w:rsidR="004339A0" w:rsidRPr="00490460" w:rsidRDefault="004339A0" w:rsidP="00F3560A">
      <w:pPr>
        <w:spacing w:line="240" w:lineRule="auto"/>
        <w:jc w:val="both"/>
        <w:rPr>
          <w:rFonts w:ascii="Tahoma" w:eastAsia="Times New Roman" w:hAnsi="Tahoma" w:cs="Tahoma"/>
          <w:sz w:val="24"/>
          <w:szCs w:val="24"/>
          <w:lang w:eastAsia="en-GB"/>
        </w:rPr>
      </w:pPr>
      <w:r w:rsidRPr="00490460">
        <w:rPr>
          <w:rFonts w:ascii="Tahoma" w:eastAsia="Times New Roman" w:hAnsi="Tahoma" w:cs="Tahoma"/>
          <w:sz w:val="24"/>
          <w:szCs w:val="24"/>
          <w:lang w:eastAsia="en-GB"/>
        </w:rPr>
        <w:t>Deep vein thrombosis (DVT), the formation of a blood clot in a deep vein, primarily in the legs, poses serious health risks, including pulmonary embolism (PE)</w:t>
      </w:r>
      <w:r>
        <w:rPr>
          <w:rFonts w:ascii="Tahoma" w:eastAsia="Times New Roman" w:hAnsi="Tahoma" w:cs="Tahoma"/>
          <w:sz w:val="24"/>
          <w:szCs w:val="24"/>
          <w:lang w:eastAsia="en-GB"/>
        </w:rPr>
        <w:t xml:space="preserve">. </w:t>
      </w:r>
      <w:r w:rsidRPr="00490460">
        <w:rPr>
          <w:rFonts w:ascii="Tahoma" w:eastAsia="Times New Roman" w:hAnsi="Tahoma" w:cs="Tahoma"/>
          <w:sz w:val="24"/>
          <w:szCs w:val="24"/>
          <w:lang w:eastAsia="en-GB"/>
        </w:rPr>
        <w:t>Early diagnosis in primary care is critical for initiating anticoagulation therapy to prevent life-threatening complications. Point-of-care (POC) D-dimer testing allows primary care physicians to quickly rule out DVT in patients with a low clinical probability, reducing unnecessary referrals to secondary care</w:t>
      </w:r>
      <w:r>
        <w:rPr>
          <w:rFonts w:ascii="Tahoma" w:eastAsia="Times New Roman" w:hAnsi="Tahoma" w:cs="Tahoma"/>
          <w:sz w:val="24"/>
          <w:szCs w:val="24"/>
          <w:lang w:eastAsia="en-GB"/>
        </w:rPr>
        <w:t xml:space="preserve">. </w:t>
      </w:r>
      <w:r w:rsidRPr="00490460">
        <w:rPr>
          <w:rFonts w:ascii="Tahoma" w:eastAsia="Times New Roman" w:hAnsi="Tahoma" w:cs="Tahoma"/>
          <w:sz w:val="24"/>
          <w:szCs w:val="24"/>
          <w:lang w:eastAsia="en-GB"/>
        </w:rPr>
        <w:t>The DESTINY study aims to evaluate whether implementing POC D-dimer testing in primary care can safely reduce DVT referrals to secondary care by using a combination of Wells' score and D-dimer tests to stratify risk.</w:t>
      </w:r>
    </w:p>
    <w:p w14:paraId="7348F163" w14:textId="71ED64C0" w:rsidR="001D73FB" w:rsidRDefault="001D73FB" w:rsidP="00F3560A">
      <w:pPr>
        <w:spacing w:after="0" w:line="240" w:lineRule="auto"/>
        <w:jc w:val="both"/>
        <w:rPr>
          <w:rFonts w:ascii="Tahoma" w:hAnsi="Tahoma" w:cs="Tahoma"/>
          <w:b/>
          <w:bCs/>
          <w:sz w:val="24"/>
          <w:szCs w:val="24"/>
        </w:rPr>
      </w:pPr>
      <w:r>
        <w:rPr>
          <w:rFonts w:ascii="Tahoma" w:hAnsi="Tahoma" w:cs="Tahoma"/>
          <w:b/>
          <w:bCs/>
          <w:sz w:val="24"/>
          <w:szCs w:val="24"/>
        </w:rPr>
        <w:t>Aim:</w:t>
      </w:r>
    </w:p>
    <w:p w14:paraId="3B3F141C" w14:textId="64B85F33" w:rsidR="004339A0" w:rsidRDefault="006E753C" w:rsidP="00F3560A">
      <w:pPr>
        <w:spacing w:after="0" w:line="240" w:lineRule="auto"/>
        <w:jc w:val="both"/>
        <w:rPr>
          <w:rFonts w:ascii="Tahoma" w:eastAsia="Times New Roman" w:hAnsi="Tahoma" w:cs="Tahoma"/>
          <w:sz w:val="24"/>
          <w:szCs w:val="24"/>
          <w:lang w:eastAsia="en-GB"/>
        </w:rPr>
      </w:pPr>
      <w:sdt>
        <w:sdtPr>
          <w:rPr>
            <w:rFonts w:ascii="Tahoma" w:eastAsia="Times New Roman" w:hAnsi="Tahoma" w:cs="Tahoma"/>
            <w:sz w:val="24"/>
            <w:szCs w:val="24"/>
            <w:lang w:eastAsia="en-GB"/>
          </w:rPr>
          <w:id w:val="506803389"/>
          <w:placeholder>
            <w:docPart w:val="B2843733B5084458A1FD03773BCCB7B8"/>
          </w:placeholder>
          <w:text/>
        </w:sdtPr>
        <w:sdtEndPr/>
        <w:sdtContent>
          <w:r w:rsidR="004339A0" w:rsidRPr="000C220D">
            <w:rPr>
              <w:rFonts w:ascii="Tahoma" w:eastAsia="Times New Roman" w:hAnsi="Tahoma" w:cs="Tahoma"/>
              <w:sz w:val="24"/>
              <w:szCs w:val="24"/>
              <w:lang w:eastAsia="en-GB"/>
            </w:rPr>
            <w:t xml:space="preserve">The primary aim of the DESTINY study is to provide evidence to suggest the number of DVT referrals to secondary care can safely be reduced by introducing POC testing at primary care. </w:t>
          </w:r>
        </w:sdtContent>
      </w:sdt>
    </w:p>
    <w:p w14:paraId="1029068A" w14:textId="77777777" w:rsidR="004339A0" w:rsidRPr="00F3560A" w:rsidRDefault="004339A0" w:rsidP="00F3560A">
      <w:pPr>
        <w:spacing w:after="0" w:line="240" w:lineRule="auto"/>
        <w:jc w:val="both"/>
        <w:rPr>
          <w:rFonts w:ascii="Tahoma" w:hAnsi="Tahoma" w:cs="Tahoma"/>
          <w:b/>
          <w:bCs/>
          <w:sz w:val="16"/>
          <w:szCs w:val="16"/>
        </w:rPr>
      </w:pPr>
    </w:p>
    <w:p w14:paraId="4F0C03D1" w14:textId="45754AE7" w:rsidR="001D73FB" w:rsidRDefault="001D73FB" w:rsidP="00F3560A">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3FC74993" w14:textId="6238E2F8" w:rsidR="004339A0" w:rsidRDefault="006E753C" w:rsidP="00F3560A">
      <w:pPr>
        <w:spacing w:after="0" w:line="240" w:lineRule="auto"/>
        <w:jc w:val="both"/>
        <w:rPr>
          <w:rFonts w:ascii="Tahoma" w:hAnsi="Tahoma" w:cs="Tahoma"/>
          <w:b/>
          <w:bCs/>
          <w:sz w:val="24"/>
          <w:szCs w:val="24"/>
        </w:rPr>
      </w:pPr>
      <w:sdt>
        <w:sdtPr>
          <w:rPr>
            <w:rFonts w:ascii="Tahoma" w:hAnsi="Tahoma" w:cs="Tahoma"/>
            <w:sz w:val="24"/>
            <w:szCs w:val="24"/>
          </w:rPr>
          <w:id w:val="785011412"/>
          <w:placeholder>
            <w:docPart w:val="54873AD28158493E97481A9425E0D178"/>
          </w:placeholder>
          <w:text/>
        </w:sdtPr>
        <w:sdtEndPr/>
        <w:sdtContent>
          <w:r w:rsidR="004339A0" w:rsidRPr="000C220D">
            <w:rPr>
              <w:rFonts w:ascii="Tahoma" w:hAnsi="Tahoma" w:cs="Tahoma"/>
              <w:sz w:val="24"/>
              <w:szCs w:val="24"/>
            </w:rPr>
            <w:t>Patients presenting symptoms of a suspected DVT were triaged for study inclusion and notified of the study over the telephone.</w:t>
          </w:r>
          <w:r w:rsidR="004339A0">
            <w:rPr>
              <w:rFonts w:ascii="Tahoma" w:hAnsi="Tahoma" w:cs="Tahoma"/>
              <w:sz w:val="24"/>
              <w:szCs w:val="24"/>
            </w:rPr>
            <w:t xml:space="preserve"> </w:t>
          </w:r>
          <w:r w:rsidR="004339A0" w:rsidRPr="000C220D">
            <w:rPr>
              <w:rFonts w:ascii="Tahoma" w:hAnsi="Tahoma" w:cs="Tahoma"/>
              <w:sz w:val="24"/>
              <w:szCs w:val="24"/>
            </w:rPr>
            <w:t>Once consent is provided, a 150µl aliquot of the patients’ venous sample is taken and analysed on the Roche Cobas H232 Dimer assay, with a read time of 8 minutes.  Simultaneously, 15µl of capillary blood is obtained by finger-prick sampling and assayed for D-dimer (LumiraDx), with a read time of &lt;7 minutes. The remaining D-dimer venous sample is sent for analysis at the secondary care using LPIA, following the standard referral pathway for a suspected DVT. Laboratory D-dimer results are recorded and later compared to the POC assays.</w:t>
          </w:r>
        </w:sdtContent>
      </w:sdt>
    </w:p>
    <w:p w14:paraId="41CCDAF5" w14:textId="77777777" w:rsidR="00312351" w:rsidRPr="00F3560A" w:rsidRDefault="00312351" w:rsidP="00F3560A">
      <w:pPr>
        <w:spacing w:after="0" w:line="240" w:lineRule="auto"/>
        <w:jc w:val="both"/>
        <w:rPr>
          <w:rFonts w:ascii="Tahoma" w:hAnsi="Tahoma" w:cs="Tahoma"/>
          <w:sz w:val="16"/>
          <w:szCs w:val="16"/>
        </w:rPr>
      </w:pPr>
    </w:p>
    <w:p w14:paraId="335C0979" w14:textId="585CAE37" w:rsidR="001D73FB" w:rsidRDefault="001D73FB" w:rsidP="00F3560A">
      <w:pPr>
        <w:spacing w:after="0" w:line="240" w:lineRule="auto"/>
        <w:jc w:val="both"/>
        <w:rPr>
          <w:rFonts w:ascii="Tahoma" w:hAnsi="Tahoma" w:cs="Tahoma"/>
          <w:b/>
          <w:bCs/>
          <w:sz w:val="24"/>
          <w:szCs w:val="24"/>
        </w:rPr>
      </w:pPr>
      <w:r>
        <w:rPr>
          <w:rFonts w:ascii="Tahoma" w:hAnsi="Tahoma" w:cs="Tahoma"/>
          <w:b/>
          <w:bCs/>
          <w:sz w:val="24"/>
          <w:szCs w:val="24"/>
        </w:rPr>
        <w:t>Results:</w:t>
      </w:r>
    </w:p>
    <w:p w14:paraId="0B3303D6" w14:textId="4ACBA1C0" w:rsidR="004339A0" w:rsidRPr="00490460" w:rsidRDefault="004339A0" w:rsidP="00F3560A">
      <w:pPr>
        <w:spacing w:line="240" w:lineRule="auto"/>
        <w:jc w:val="both"/>
        <w:rPr>
          <w:rFonts w:ascii="Tahoma" w:hAnsi="Tahoma" w:cs="Tahoma"/>
          <w:sz w:val="24"/>
          <w:szCs w:val="24"/>
        </w:rPr>
      </w:pPr>
      <w:r w:rsidRPr="00490460">
        <w:rPr>
          <w:rFonts w:ascii="Tahoma" w:hAnsi="Tahoma" w:cs="Tahoma"/>
          <w:sz w:val="24"/>
          <w:szCs w:val="24"/>
        </w:rPr>
        <w:t>In the DESTINY study, 118 patients with suspected DVT were tested using the Roche Cobas H232 and LumiraDx POC assays, compared to the laboratory-based latex enhanced immunoturbidimetry assay (LPIA). A D-dimer concentration above 500 µg/L was considered positive. The LumiraDx assay returned 66% positive results (mean: 927 µg/L), Roche Cobas 31% (mean: 597 µg/L), and the LPIA 56% (mean: 725 µg/L). Sensitivity and negative predictive values were 100% for all assays, but specificity and positive predictive value (PPV) varied, with LumiraDx showing 39.2% specificity, Roche Cobas 75.4%, and LPIA 62.0%.</w:t>
      </w:r>
    </w:p>
    <w:p w14:paraId="7ECBBD9A" w14:textId="391CA6D2" w:rsidR="004339A0" w:rsidRPr="00490460" w:rsidRDefault="004339A0" w:rsidP="00F3560A">
      <w:pPr>
        <w:spacing w:line="240" w:lineRule="auto"/>
        <w:jc w:val="both"/>
        <w:rPr>
          <w:rFonts w:ascii="Tahoma" w:hAnsi="Tahoma" w:cs="Tahoma"/>
          <w:sz w:val="24"/>
          <w:szCs w:val="24"/>
        </w:rPr>
      </w:pPr>
      <w:r w:rsidRPr="00490460">
        <w:rPr>
          <w:rFonts w:ascii="Tahoma" w:hAnsi="Tahoma" w:cs="Tahoma"/>
          <w:sz w:val="24"/>
          <w:szCs w:val="24"/>
        </w:rPr>
        <w:t>Adjusting D-dimer cut-offs by age improved specificity and PPV, with no compromise on sensitivity for the POC tests. Wells' score combined with age-adjusted cut-offs further increased specificity and PPV. The one-way ANOVA indicated no significant difference in mean results between the assays (P = 0.12).</w:t>
      </w:r>
    </w:p>
    <w:p w14:paraId="769461BF" w14:textId="77777777" w:rsidR="004339A0" w:rsidRPr="00F3560A" w:rsidRDefault="004339A0" w:rsidP="00F3560A">
      <w:pPr>
        <w:spacing w:after="0" w:line="240" w:lineRule="auto"/>
        <w:jc w:val="both"/>
        <w:rPr>
          <w:rFonts w:ascii="Tahoma" w:hAnsi="Tahoma" w:cs="Tahoma"/>
          <w:b/>
          <w:bCs/>
          <w:sz w:val="16"/>
          <w:szCs w:val="16"/>
        </w:rPr>
      </w:pPr>
    </w:p>
    <w:p w14:paraId="79D016C6" w14:textId="53A6E1D0" w:rsidR="001D73FB" w:rsidRDefault="001D73FB" w:rsidP="00F3560A">
      <w:pPr>
        <w:spacing w:after="0" w:line="240" w:lineRule="auto"/>
        <w:jc w:val="both"/>
        <w:rPr>
          <w:rFonts w:ascii="Tahoma" w:hAnsi="Tahoma" w:cs="Tahoma"/>
          <w:b/>
          <w:bCs/>
          <w:sz w:val="24"/>
          <w:szCs w:val="24"/>
        </w:rPr>
      </w:pPr>
      <w:r>
        <w:rPr>
          <w:rFonts w:ascii="Tahoma" w:hAnsi="Tahoma" w:cs="Tahoma"/>
          <w:b/>
          <w:bCs/>
          <w:sz w:val="24"/>
          <w:szCs w:val="24"/>
        </w:rPr>
        <w:t>Conclusion:</w:t>
      </w:r>
    </w:p>
    <w:p w14:paraId="455D4B2F" w14:textId="77777777" w:rsidR="004339A0" w:rsidRDefault="004339A0" w:rsidP="00F3560A">
      <w:pPr>
        <w:spacing w:line="240" w:lineRule="auto"/>
        <w:ind w:right="142"/>
        <w:jc w:val="both"/>
        <w:rPr>
          <w:rFonts w:ascii="Tahoma" w:hAnsi="Tahoma" w:cs="Tahoma"/>
          <w:color w:val="000000"/>
          <w:sz w:val="24"/>
          <w:szCs w:val="24"/>
          <w:shd w:val="clear" w:color="auto" w:fill="FFFFFF"/>
        </w:rPr>
      </w:pPr>
      <w:r w:rsidRPr="00490460">
        <w:rPr>
          <w:rFonts w:ascii="Tahoma" w:hAnsi="Tahoma" w:cs="Tahoma"/>
          <w:color w:val="000000"/>
          <w:sz w:val="24"/>
          <w:szCs w:val="24"/>
          <w:shd w:val="clear" w:color="auto" w:fill="FFFFFF"/>
        </w:rPr>
        <w:t>The study concludes that POC D-dimer testing can reliably exclude DVT in primary care, offering a safe and efficient alternative to laboratory testing. However, specificity remains a challenge, emphasi</w:t>
      </w:r>
      <w:r>
        <w:rPr>
          <w:rFonts w:ascii="Tahoma" w:hAnsi="Tahoma" w:cs="Tahoma"/>
          <w:color w:val="000000"/>
          <w:sz w:val="24"/>
          <w:szCs w:val="24"/>
          <w:shd w:val="clear" w:color="auto" w:fill="FFFFFF"/>
        </w:rPr>
        <w:t>s</w:t>
      </w:r>
      <w:r w:rsidRPr="00490460">
        <w:rPr>
          <w:rFonts w:ascii="Tahoma" w:hAnsi="Tahoma" w:cs="Tahoma"/>
          <w:color w:val="000000"/>
          <w:sz w:val="24"/>
          <w:szCs w:val="24"/>
          <w:shd w:val="clear" w:color="auto" w:fill="FFFFFF"/>
        </w:rPr>
        <w:t>ing the importance of incorporating Wells' risk scores and age-adjusted D-dimer levels to improve diagnostic accuracy. This supports the integration of POC testing into routine primary care practice.</w:t>
      </w:r>
    </w:p>
    <w:p w14:paraId="4431CB9E" w14:textId="77777777" w:rsidR="004339A0" w:rsidRDefault="004339A0" w:rsidP="00F3560A">
      <w:pPr>
        <w:spacing w:after="0" w:line="240" w:lineRule="auto"/>
        <w:jc w:val="both"/>
        <w:rPr>
          <w:rFonts w:ascii="Tahoma" w:hAnsi="Tahoma" w:cs="Tahoma"/>
          <w:b/>
          <w:bCs/>
          <w:sz w:val="24"/>
          <w:szCs w:val="24"/>
        </w:rPr>
      </w:pPr>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411208"/>
    <w:rsid w:val="004339A0"/>
    <w:rsid w:val="00631156"/>
    <w:rsid w:val="006E753C"/>
    <w:rsid w:val="0073698D"/>
    <w:rsid w:val="0084790E"/>
    <w:rsid w:val="00957516"/>
    <w:rsid w:val="00A70F30"/>
    <w:rsid w:val="00AC3303"/>
    <w:rsid w:val="00DB03CE"/>
    <w:rsid w:val="00E0156E"/>
    <w:rsid w:val="00E065C5"/>
    <w:rsid w:val="00EF0E17"/>
    <w:rsid w:val="00F057AF"/>
    <w:rsid w:val="00F356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0008E1A8CA043E3ADE7211E4269C416"/>
        <w:category>
          <w:name w:val="General"/>
          <w:gallery w:val="placeholder"/>
        </w:category>
        <w:types>
          <w:type w:val="bbPlcHdr"/>
        </w:types>
        <w:behaviors>
          <w:behavior w:val="content"/>
        </w:behaviors>
        <w:guid w:val="{1B677AF8-26FC-4ECA-A3E7-ED4A97693CD6}"/>
      </w:docPartPr>
      <w:docPartBody>
        <w:p w:rsidR="002D589B" w:rsidRDefault="00947F2E" w:rsidP="00947F2E">
          <w:pPr>
            <w:pStyle w:val="90008E1A8CA043E3ADE7211E4269C416"/>
          </w:pPr>
          <w:r w:rsidRPr="00810C78">
            <w:rPr>
              <w:rStyle w:val="PlaceholderText"/>
            </w:rPr>
            <w:t>Click or tap here to enter text.</w:t>
          </w:r>
        </w:p>
      </w:docPartBody>
    </w:docPart>
    <w:docPart>
      <w:docPartPr>
        <w:name w:val="B2843733B5084458A1FD03773BCCB7B8"/>
        <w:category>
          <w:name w:val="General"/>
          <w:gallery w:val="placeholder"/>
        </w:category>
        <w:types>
          <w:type w:val="bbPlcHdr"/>
        </w:types>
        <w:behaviors>
          <w:behavior w:val="content"/>
        </w:behaviors>
        <w:guid w:val="{D34411DC-93AC-4736-838D-46C19A5FF44E}"/>
      </w:docPartPr>
      <w:docPartBody>
        <w:p w:rsidR="002D589B" w:rsidRDefault="00947F2E" w:rsidP="00947F2E">
          <w:pPr>
            <w:pStyle w:val="B2843733B5084458A1FD03773BCCB7B8"/>
          </w:pPr>
          <w:r w:rsidRPr="00810C78">
            <w:rPr>
              <w:rStyle w:val="PlaceholderText"/>
            </w:rPr>
            <w:t>Click or tap here to enter text.</w:t>
          </w:r>
        </w:p>
      </w:docPartBody>
    </w:docPart>
    <w:docPart>
      <w:docPartPr>
        <w:name w:val="54873AD28158493E97481A9425E0D178"/>
        <w:category>
          <w:name w:val="General"/>
          <w:gallery w:val="placeholder"/>
        </w:category>
        <w:types>
          <w:type w:val="bbPlcHdr"/>
        </w:types>
        <w:behaviors>
          <w:behavior w:val="content"/>
        </w:behaviors>
        <w:guid w:val="{2FA72E9F-DE64-427F-99E4-019A269384A2}"/>
      </w:docPartPr>
      <w:docPartBody>
        <w:p w:rsidR="002D589B" w:rsidRDefault="00947F2E" w:rsidP="00947F2E">
          <w:pPr>
            <w:pStyle w:val="54873AD28158493E97481A9425E0D178"/>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F2E"/>
    <w:rsid w:val="002D589B"/>
    <w:rsid w:val="00947F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47F2E"/>
    <w:rPr>
      <w:color w:val="808080"/>
    </w:rPr>
  </w:style>
  <w:style w:type="paragraph" w:customStyle="1" w:styleId="90008E1A8CA043E3ADE7211E4269C416">
    <w:name w:val="90008E1A8CA043E3ADE7211E4269C416"/>
    <w:rsid w:val="00947F2E"/>
  </w:style>
  <w:style w:type="paragraph" w:customStyle="1" w:styleId="B2843733B5084458A1FD03773BCCB7B8">
    <w:name w:val="B2843733B5084458A1FD03773BCCB7B8"/>
    <w:rsid w:val="00947F2E"/>
  </w:style>
  <w:style w:type="paragraph" w:customStyle="1" w:styleId="54873AD28158493E97481A9425E0D178">
    <w:name w:val="54873AD28158493E97481A9425E0D178"/>
    <w:rsid w:val="00947F2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498</Words>
  <Characters>2842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2024-11-01T17:10:00Z</dcterms:created>
  <dcterms:modified xsi:type="dcterms:W3CDTF">2024-11-22T09:21:00Z</dcterms:modified>
</cp:coreProperties>
</file>