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747B4" w14:textId="4941AE9E" w:rsidR="00E86AEA" w:rsidRDefault="00400A84" w:rsidP="00400A84">
      <w:pPr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7D4C03B" wp14:editId="54287644">
            <wp:simplePos x="0" y="0"/>
            <wp:positionH relativeFrom="page">
              <wp:align>center</wp:align>
            </wp:positionH>
            <wp:positionV relativeFrom="paragraph">
              <wp:posOffset>-6985</wp:posOffset>
            </wp:positionV>
            <wp:extent cx="3780995" cy="9620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099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5566B9" w14:textId="697CD7C8" w:rsidR="00400A84" w:rsidRDefault="00400A84" w:rsidP="00400A84">
      <w:pPr>
        <w:jc w:val="center"/>
        <w:rPr>
          <w:noProof/>
        </w:rPr>
      </w:pPr>
    </w:p>
    <w:p w14:paraId="756F0279" w14:textId="3EBEE59A" w:rsidR="00400A84" w:rsidRDefault="00400A84" w:rsidP="00400A84">
      <w:pPr>
        <w:jc w:val="center"/>
        <w:rPr>
          <w:noProof/>
        </w:rPr>
      </w:pPr>
    </w:p>
    <w:p w14:paraId="3C7B1259" w14:textId="587BAC29" w:rsidR="00400A84" w:rsidRDefault="00400A84" w:rsidP="00400A84">
      <w:pPr>
        <w:jc w:val="center"/>
        <w:rPr>
          <w:noProof/>
        </w:rPr>
      </w:pPr>
    </w:p>
    <w:p w14:paraId="1B8873D8" w14:textId="1CA7596D" w:rsidR="00400A84" w:rsidRDefault="003378B3" w:rsidP="00400A84">
      <w:pPr>
        <w:jc w:val="center"/>
        <w:rPr>
          <w:rFonts w:ascii="Tahoma" w:hAnsi="Tahoma" w:cs="Tahoma"/>
          <w:b/>
          <w:bCs/>
          <w:noProof/>
          <w:color w:val="32598A"/>
          <w:sz w:val="32"/>
          <w:szCs w:val="32"/>
        </w:rPr>
      </w:pPr>
      <w:r>
        <w:rPr>
          <w:rFonts w:ascii="Tahoma" w:hAnsi="Tahoma" w:cs="Tahoma"/>
          <w:b/>
          <w:bCs/>
          <w:noProof/>
          <w:color w:val="32598A"/>
          <w:sz w:val="32"/>
          <w:szCs w:val="32"/>
        </w:rPr>
        <w:t>RESEARCH &amp; DEVELOPMENT CONFERENCE 2024</w:t>
      </w:r>
    </w:p>
    <w:p w14:paraId="7B069D2E" w14:textId="26A3898F" w:rsidR="00794698" w:rsidRDefault="003378B3" w:rsidP="00794698">
      <w:pPr>
        <w:spacing w:after="0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POSTER PRESENTATION :</w:t>
      </w:r>
      <w:r w:rsidR="00E275C5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6</w:t>
      </w:r>
    </w:p>
    <w:p w14:paraId="586297AE" w14:textId="0766D352" w:rsidR="00794698" w:rsidRDefault="00794698" w:rsidP="00794698">
      <w:pPr>
        <w:spacing w:after="0"/>
        <w:rPr>
          <w:rFonts w:ascii="Tahoma" w:hAnsi="Tahoma" w:cs="Tahoma"/>
          <w:noProof/>
          <w:sz w:val="24"/>
          <w:szCs w:val="24"/>
        </w:rPr>
      </w:pPr>
      <w:r>
        <w:rPr>
          <w:rFonts w:ascii="Tahoma" w:hAnsi="Tahoma" w:cs="Tahoma"/>
          <w:noProof/>
          <w:sz w:val="24"/>
          <w:szCs w:val="24"/>
        </w:rPr>
        <w:t>Pharmacist on the Acute Frailty Post Take Ward Round</w:t>
      </w:r>
      <w:r w:rsidR="00EA3937">
        <w:rPr>
          <w:rFonts w:ascii="Tahoma" w:hAnsi="Tahoma" w:cs="Tahoma"/>
          <w:noProof/>
          <w:sz w:val="24"/>
          <w:szCs w:val="24"/>
        </w:rPr>
        <w:t xml:space="preserve"> (</w:t>
      </w:r>
      <w:r w:rsidR="001B1876">
        <w:rPr>
          <w:rFonts w:ascii="Tahoma" w:hAnsi="Tahoma" w:cs="Tahoma"/>
          <w:noProof/>
          <w:sz w:val="24"/>
          <w:szCs w:val="24"/>
        </w:rPr>
        <w:t>PTWR)</w:t>
      </w:r>
    </w:p>
    <w:p w14:paraId="1732D66D" w14:textId="77777777" w:rsidR="00794698" w:rsidRPr="00AF6A30" w:rsidRDefault="00794698" w:rsidP="00794698">
      <w:pPr>
        <w:spacing w:after="0"/>
        <w:rPr>
          <w:rFonts w:ascii="Tahoma" w:hAnsi="Tahoma" w:cs="Tahoma"/>
          <w:sz w:val="16"/>
          <w:szCs w:val="16"/>
          <w:u w:val="single"/>
        </w:rPr>
      </w:pPr>
    </w:p>
    <w:p w14:paraId="5CFA3287" w14:textId="60F1B13C" w:rsidR="003378B3" w:rsidRPr="00E0156E" w:rsidRDefault="003378B3" w:rsidP="003378B3">
      <w:pPr>
        <w:rPr>
          <w:rFonts w:ascii="Tahoma" w:hAnsi="Tahoma" w:cs="Tahoma"/>
          <w:noProof/>
          <w:sz w:val="24"/>
          <w:szCs w:val="24"/>
        </w:rPr>
      </w:pPr>
      <w:r w:rsidRPr="0073698D">
        <w:rPr>
          <w:rFonts w:ascii="Tahoma" w:hAnsi="Tahoma" w:cs="Tahoma"/>
          <w:b/>
          <w:bCs/>
          <w:noProof/>
          <w:color w:val="32598A"/>
          <w:sz w:val="28"/>
          <w:szCs w:val="28"/>
        </w:rPr>
        <w:t>Author/s:</w:t>
      </w:r>
      <w:r w:rsidR="00E0156E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r w:rsidR="00794698" w:rsidRPr="00794698">
        <w:rPr>
          <w:rFonts w:ascii="Tahoma" w:hAnsi="Tahoma" w:cs="Tahoma"/>
          <w:noProof/>
          <w:sz w:val="24"/>
          <w:szCs w:val="24"/>
        </w:rPr>
        <w:t>James, E.</w:t>
      </w:r>
    </w:p>
    <w:p w14:paraId="0EF06F1D" w14:textId="01651812" w:rsidR="0073698D" w:rsidRPr="00794698" w:rsidRDefault="0073698D" w:rsidP="003378B3">
      <w:pPr>
        <w:rPr>
          <w:rFonts w:ascii="Tahoma" w:hAnsi="Tahoma" w:cs="Tahoma"/>
          <w:noProof/>
          <w:sz w:val="24"/>
          <w:szCs w:val="24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Department:</w:t>
      </w:r>
      <w:r w:rsidR="00794698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r w:rsidR="00794698">
        <w:rPr>
          <w:rFonts w:ascii="Tahoma" w:hAnsi="Tahoma" w:cs="Tahoma"/>
          <w:noProof/>
          <w:sz w:val="24"/>
          <w:szCs w:val="24"/>
        </w:rPr>
        <w:t>Pharmacy and Medicines Management</w:t>
      </w:r>
    </w:p>
    <w:p w14:paraId="5C2DF48A" w14:textId="77777777" w:rsidR="001D73FB" w:rsidRPr="00101A21" w:rsidRDefault="001D73FB" w:rsidP="001D73FB">
      <w:pPr>
        <w:shd w:val="clear" w:color="auto" w:fill="32598A"/>
        <w:rPr>
          <w:color w:val="0066CC"/>
        </w:rPr>
      </w:pPr>
    </w:p>
    <w:p w14:paraId="538FA88B" w14:textId="7FCAD0BB" w:rsidR="00400A84" w:rsidRDefault="001D73FB" w:rsidP="00794698">
      <w:pPr>
        <w:spacing w:after="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Introduction:</w:t>
      </w:r>
    </w:p>
    <w:p w14:paraId="19AD7AB2" w14:textId="49BD2120" w:rsidR="00794698" w:rsidRPr="007A399C" w:rsidRDefault="00794698" w:rsidP="00794698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The number of people living with frailty is increasing</w:t>
      </w:r>
      <w:r w:rsidRPr="007A399C">
        <w:rPr>
          <w:rFonts w:ascii="Tahoma" w:hAnsi="Tahoma" w:cs="Tahoma"/>
          <w:sz w:val="24"/>
          <w:szCs w:val="24"/>
        </w:rPr>
        <w:t xml:space="preserve">, along with </w:t>
      </w:r>
      <w:r>
        <w:rPr>
          <w:rFonts w:ascii="Tahoma" w:hAnsi="Tahoma" w:cs="Tahoma"/>
          <w:sz w:val="24"/>
          <w:szCs w:val="24"/>
        </w:rPr>
        <w:t xml:space="preserve">their </w:t>
      </w:r>
      <w:r w:rsidRPr="007A399C">
        <w:rPr>
          <w:rFonts w:ascii="Tahoma" w:hAnsi="Tahoma" w:cs="Tahoma"/>
          <w:sz w:val="24"/>
          <w:szCs w:val="24"/>
        </w:rPr>
        <w:t xml:space="preserve">co-morbidities and polypharmacy (AWMSG 2023). The World Health Organisation (WHO) state that 11% of unplanned hospital admissions are due to harm from medications, 70% of </w:t>
      </w:r>
      <w:r>
        <w:rPr>
          <w:rFonts w:ascii="Tahoma" w:hAnsi="Tahoma" w:cs="Tahoma"/>
          <w:sz w:val="24"/>
          <w:szCs w:val="24"/>
        </w:rPr>
        <w:t>being older adults</w:t>
      </w:r>
      <w:r w:rsidRPr="007A399C">
        <w:rPr>
          <w:rFonts w:ascii="Tahoma" w:hAnsi="Tahoma" w:cs="Tahoma"/>
          <w:sz w:val="24"/>
          <w:szCs w:val="24"/>
        </w:rPr>
        <w:t xml:space="preserve"> </w:t>
      </w:r>
      <w:r w:rsidRPr="007A399C">
        <w:rPr>
          <w:rFonts w:ascii="Tahoma" w:hAnsi="Tahoma" w:cs="Tahoma"/>
          <w:sz w:val="24"/>
          <w:szCs w:val="24"/>
          <w:lang w:val="en-US"/>
        </w:rPr>
        <w:t xml:space="preserve">(Maher </w:t>
      </w:r>
      <w:r w:rsidRPr="007A399C">
        <w:rPr>
          <w:rFonts w:ascii="Tahoma" w:hAnsi="Tahoma" w:cs="Tahoma"/>
          <w:i/>
          <w:iCs/>
          <w:sz w:val="24"/>
          <w:szCs w:val="24"/>
          <w:lang w:val="en-US"/>
        </w:rPr>
        <w:t xml:space="preserve">et al, </w:t>
      </w:r>
      <w:r w:rsidRPr="007A399C">
        <w:rPr>
          <w:rFonts w:ascii="Tahoma" w:hAnsi="Tahoma" w:cs="Tahoma"/>
          <w:sz w:val="24"/>
          <w:szCs w:val="24"/>
          <w:lang w:val="en-US"/>
        </w:rPr>
        <w:t xml:space="preserve">2013). </w:t>
      </w:r>
      <w:r>
        <w:rPr>
          <w:rFonts w:ascii="Tahoma" w:hAnsi="Tahoma" w:cs="Tahoma"/>
          <w:sz w:val="24"/>
          <w:szCs w:val="24"/>
        </w:rPr>
        <w:t>S</w:t>
      </w:r>
      <w:r w:rsidRPr="007A399C">
        <w:rPr>
          <w:rFonts w:ascii="Tahoma" w:hAnsi="Tahoma" w:cs="Tahoma"/>
          <w:sz w:val="24"/>
          <w:szCs w:val="24"/>
        </w:rPr>
        <w:t xml:space="preserve">usceptibility to medication side effects </w:t>
      </w:r>
      <w:r>
        <w:rPr>
          <w:rFonts w:ascii="Tahoma" w:hAnsi="Tahoma" w:cs="Tahoma"/>
          <w:sz w:val="24"/>
          <w:szCs w:val="24"/>
        </w:rPr>
        <w:t xml:space="preserve">is a frailty syndrome </w:t>
      </w:r>
      <w:r w:rsidRPr="007A399C">
        <w:rPr>
          <w:rFonts w:ascii="Tahoma" w:hAnsi="Tahoma" w:cs="Tahoma"/>
          <w:sz w:val="24"/>
          <w:szCs w:val="24"/>
        </w:rPr>
        <w:t>(Swift 1998)</w:t>
      </w:r>
      <w:r>
        <w:rPr>
          <w:rFonts w:ascii="Tahoma" w:hAnsi="Tahoma" w:cs="Tahoma"/>
          <w:sz w:val="24"/>
          <w:szCs w:val="24"/>
        </w:rPr>
        <w:t>, as changes in</w:t>
      </w:r>
      <w:r w:rsidRPr="007A399C">
        <w:rPr>
          <w:rFonts w:ascii="Tahoma" w:hAnsi="Tahoma" w:cs="Tahoma"/>
          <w:sz w:val="24"/>
          <w:szCs w:val="24"/>
        </w:rPr>
        <w:t xml:space="preserve"> drug handling </w:t>
      </w:r>
      <w:r>
        <w:rPr>
          <w:rFonts w:ascii="Tahoma" w:hAnsi="Tahoma" w:cs="Tahoma"/>
          <w:sz w:val="24"/>
          <w:szCs w:val="24"/>
        </w:rPr>
        <w:t>increases with frailty and age (AWMSG 2023)</w:t>
      </w:r>
      <w:r w:rsidRPr="007A399C">
        <w:rPr>
          <w:rFonts w:ascii="Tahoma" w:hAnsi="Tahoma" w:cs="Tahoma"/>
          <w:sz w:val="24"/>
          <w:szCs w:val="24"/>
        </w:rPr>
        <w:t xml:space="preserve">. </w:t>
      </w:r>
      <w:r>
        <w:rPr>
          <w:rFonts w:ascii="Tahoma" w:hAnsi="Tahoma" w:cs="Tahoma"/>
          <w:sz w:val="24"/>
          <w:szCs w:val="24"/>
        </w:rPr>
        <w:t>Introduction</w:t>
      </w:r>
      <w:r w:rsidRPr="007A399C">
        <w:rPr>
          <w:rFonts w:ascii="Tahoma" w:hAnsi="Tahoma" w:cs="Tahoma"/>
          <w:sz w:val="24"/>
          <w:szCs w:val="24"/>
        </w:rPr>
        <w:t xml:space="preserve"> of a pharmacist on the acute frailty PTWR is an </w:t>
      </w:r>
      <w:r>
        <w:rPr>
          <w:rFonts w:ascii="Tahoma" w:hAnsi="Tahoma" w:cs="Tahoma"/>
          <w:sz w:val="24"/>
          <w:szCs w:val="24"/>
        </w:rPr>
        <w:t>opportunity</w:t>
      </w:r>
      <w:r w:rsidRPr="007A399C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to optimise pharmaceutical care for frail adults at an earlier stage of admission to hospital, and </w:t>
      </w:r>
      <w:r w:rsidRPr="007A399C">
        <w:rPr>
          <w:rFonts w:ascii="Tahoma" w:hAnsi="Tahoma" w:cs="Tahoma"/>
          <w:sz w:val="24"/>
          <w:szCs w:val="24"/>
        </w:rPr>
        <w:t xml:space="preserve">to reconcile medications </w:t>
      </w:r>
      <w:r>
        <w:rPr>
          <w:rFonts w:ascii="Tahoma" w:hAnsi="Tahoma" w:cs="Tahoma"/>
          <w:sz w:val="24"/>
          <w:szCs w:val="24"/>
        </w:rPr>
        <w:t xml:space="preserve">to </w:t>
      </w:r>
      <w:r w:rsidRPr="007A399C">
        <w:rPr>
          <w:rFonts w:ascii="Tahoma" w:hAnsi="Tahoma" w:cs="Tahoma"/>
          <w:sz w:val="24"/>
          <w:szCs w:val="24"/>
        </w:rPr>
        <w:t>meet the quality standard of medicines reconciliation within 24 hours of admission</w:t>
      </w:r>
      <w:r>
        <w:rPr>
          <w:rFonts w:ascii="Tahoma" w:hAnsi="Tahoma" w:cs="Tahoma"/>
          <w:sz w:val="24"/>
          <w:szCs w:val="24"/>
        </w:rPr>
        <w:t xml:space="preserve"> (NICE 2016)</w:t>
      </w:r>
      <w:r w:rsidRPr="007A399C">
        <w:rPr>
          <w:rFonts w:ascii="Tahoma" w:hAnsi="Tahoma" w:cs="Tahoma"/>
          <w:sz w:val="24"/>
          <w:szCs w:val="24"/>
        </w:rPr>
        <w:t xml:space="preserve">. </w:t>
      </w:r>
    </w:p>
    <w:p w14:paraId="7348F163" w14:textId="2F48CB78" w:rsidR="001D73FB" w:rsidRDefault="001D73FB" w:rsidP="00794698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Aim:</w:t>
      </w:r>
    </w:p>
    <w:p w14:paraId="08DB8022" w14:textId="77777777" w:rsidR="00794698" w:rsidRPr="00603667" w:rsidRDefault="00794698" w:rsidP="00794698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603667">
        <w:rPr>
          <w:rFonts w:ascii="Tahoma" w:hAnsi="Tahoma" w:cs="Tahoma"/>
          <w:sz w:val="24"/>
          <w:szCs w:val="24"/>
        </w:rPr>
        <w:t xml:space="preserve">Primary aims: </w:t>
      </w:r>
    </w:p>
    <w:p w14:paraId="67CF4ED3" w14:textId="77777777" w:rsidR="00794698" w:rsidRPr="007A399C" w:rsidRDefault="00794698" w:rsidP="00794698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Implement frailty pharmacist on the acute frailty PTWR</w:t>
      </w:r>
    </w:p>
    <w:p w14:paraId="170FD084" w14:textId="77777777" w:rsidR="00794698" w:rsidRPr="008371BF" w:rsidRDefault="00794698" w:rsidP="00794698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7A399C">
        <w:rPr>
          <w:rFonts w:ascii="Tahoma" w:hAnsi="Tahoma" w:cs="Tahoma"/>
          <w:sz w:val="24"/>
          <w:szCs w:val="24"/>
        </w:rPr>
        <w:t xml:space="preserve">Earlier </w:t>
      </w:r>
      <w:r>
        <w:rPr>
          <w:rFonts w:ascii="Tahoma" w:hAnsi="Tahoma" w:cs="Tahoma"/>
          <w:sz w:val="24"/>
          <w:szCs w:val="24"/>
        </w:rPr>
        <w:t xml:space="preserve">medicines optimisation </w:t>
      </w:r>
      <w:r w:rsidRPr="007A399C">
        <w:rPr>
          <w:rFonts w:ascii="Tahoma" w:hAnsi="Tahoma" w:cs="Tahoma"/>
          <w:sz w:val="24"/>
          <w:szCs w:val="24"/>
        </w:rPr>
        <w:t xml:space="preserve">as a part of the </w:t>
      </w:r>
      <w:r>
        <w:rPr>
          <w:rFonts w:ascii="Tahoma" w:hAnsi="Tahoma" w:cs="Tahoma"/>
          <w:sz w:val="24"/>
          <w:szCs w:val="24"/>
        </w:rPr>
        <w:t xml:space="preserve">comprehensive geriatric </w:t>
      </w:r>
      <w:r w:rsidRPr="008371BF">
        <w:rPr>
          <w:rFonts w:ascii="Tahoma" w:hAnsi="Tahoma" w:cs="Tahoma"/>
          <w:sz w:val="24"/>
          <w:szCs w:val="24"/>
        </w:rPr>
        <w:t>assessment (CGA)</w:t>
      </w:r>
    </w:p>
    <w:p w14:paraId="54BF25F4" w14:textId="77777777" w:rsidR="00794698" w:rsidRPr="008371BF" w:rsidRDefault="00794698" w:rsidP="00794698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8371BF">
        <w:rPr>
          <w:rFonts w:ascii="Tahoma" w:hAnsi="Tahoma" w:cs="Tahoma"/>
          <w:sz w:val="24"/>
          <w:szCs w:val="24"/>
        </w:rPr>
        <w:t>Secondary aims:</w:t>
      </w:r>
    </w:p>
    <w:p w14:paraId="441FDEDA" w14:textId="77777777" w:rsidR="00794698" w:rsidRPr="008371BF" w:rsidRDefault="00794698" w:rsidP="006119C3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ahoma" w:hAnsi="Tahoma" w:cs="Tahoma"/>
          <w:sz w:val="24"/>
          <w:szCs w:val="24"/>
          <w:u w:val="single"/>
        </w:rPr>
      </w:pPr>
      <w:r w:rsidRPr="008371BF">
        <w:rPr>
          <w:rFonts w:ascii="Tahoma" w:hAnsi="Tahoma" w:cs="Tahoma"/>
          <w:sz w:val="24"/>
          <w:szCs w:val="24"/>
        </w:rPr>
        <w:t>Medicines reconciliation within 24 hours meeting the key performance indicator (KPI)</w:t>
      </w:r>
    </w:p>
    <w:p w14:paraId="16B2750A" w14:textId="77777777" w:rsidR="00794698" w:rsidRPr="006119C3" w:rsidRDefault="00794698" w:rsidP="00794698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16"/>
        </w:rPr>
      </w:pPr>
    </w:p>
    <w:p w14:paraId="4F0C03D1" w14:textId="160BDA4E" w:rsidR="001D73FB" w:rsidRDefault="001D73FB" w:rsidP="00794698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Methodology</w:t>
      </w:r>
      <w:r w:rsidR="00EF0E17">
        <w:rPr>
          <w:rFonts w:ascii="Tahoma" w:hAnsi="Tahoma" w:cs="Tahoma"/>
          <w:b/>
          <w:bCs/>
          <w:sz w:val="24"/>
          <w:szCs w:val="24"/>
        </w:rPr>
        <w:t>:</w:t>
      </w:r>
    </w:p>
    <w:p w14:paraId="4A97B497" w14:textId="77777777" w:rsidR="00794698" w:rsidRPr="008E6F23" w:rsidRDefault="00794698" w:rsidP="00794698">
      <w:pPr>
        <w:spacing w:line="240" w:lineRule="auto"/>
        <w:jc w:val="both"/>
        <w:rPr>
          <w:rFonts w:ascii="Tahoma" w:hAnsi="Tahoma" w:cs="Tahoma"/>
          <w:b/>
          <w:bCs/>
          <w:sz w:val="24"/>
          <w:szCs w:val="24"/>
          <w:u w:val="single"/>
        </w:rPr>
      </w:pPr>
      <w:r>
        <w:rPr>
          <w:rFonts w:ascii="Tahoma" w:hAnsi="Tahoma" w:cs="Tahoma"/>
          <w:sz w:val="24"/>
          <w:szCs w:val="24"/>
        </w:rPr>
        <w:t xml:space="preserve">The pharmacist began attending the PTWR in January 203. Data for the project was collected between April 2023 to March 2024. Medicines optimisation interventions were recorded by the frailty pharmacist. </w:t>
      </w:r>
      <w:r w:rsidRPr="007A399C">
        <w:rPr>
          <w:rFonts w:ascii="Tahoma" w:hAnsi="Tahoma" w:cs="Tahoma"/>
          <w:sz w:val="24"/>
          <w:szCs w:val="24"/>
        </w:rPr>
        <w:t xml:space="preserve">Data was </w:t>
      </w:r>
      <w:r>
        <w:rPr>
          <w:rFonts w:ascii="Tahoma" w:hAnsi="Tahoma" w:cs="Tahoma"/>
          <w:sz w:val="24"/>
          <w:szCs w:val="24"/>
        </w:rPr>
        <w:t xml:space="preserve">inputted onto the </w:t>
      </w:r>
      <w:r w:rsidRPr="007A399C">
        <w:rPr>
          <w:rFonts w:ascii="Tahoma" w:hAnsi="Tahoma" w:cs="Tahoma"/>
          <w:sz w:val="24"/>
          <w:szCs w:val="24"/>
        </w:rPr>
        <w:t>MedOptimise tool</w:t>
      </w:r>
      <w:r>
        <w:rPr>
          <w:rFonts w:ascii="Tahoma" w:hAnsi="Tahoma" w:cs="Tahoma"/>
          <w:sz w:val="24"/>
          <w:szCs w:val="24"/>
        </w:rPr>
        <w:t xml:space="preserve">. </w:t>
      </w:r>
    </w:p>
    <w:p w14:paraId="335C0979" w14:textId="1A7189F5" w:rsidR="001D73FB" w:rsidRDefault="001D73FB" w:rsidP="00794698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Results:</w:t>
      </w:r>
    </w:p>
    <w:p w14:paraId="1E858E72" w14:textId="77777777" w:rsidR="00794698" w:rsidRDefault="00794698" w:rsidP="00794698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7A399C">
        <w:rPr>
          <w:rFonts w:ascii="Tahoma" w:hAnsi="Tahoma" w:cs="Tahoma"/>
          <w:sz w:val="24"/>
          <w:szCs w:val="24"/>
        </w:rPr>
        <w:t xml:space="preserve">April 2023 </w:t>
      </w:r>
      <w:r>
        <w:rPr>
          <w:rFonts w:ascii="Tahoma" w:hAnsi="Tahoma" w:cs="Tahoma"/>
          <w:sz w:val="24"/>
          <w:szCs w:val="24"/>
        </w:rPr>
        <w:t>to</w:t>
      </w:r>
      <w:r w:rsidRPr="007A399C">
        <w:rPr>
          <w:rFonts w:ascii="Tahoma" w:hAnsi="Tahoma" w:cs="Tahoma"/>
          <w:sz w:val="24"/>
          <w:szCs w:val="24"/>
        </w:rPr>
        <w:t xml:space="preserve"> March 2024, 571 patients</w:t>
      </w:r>
      <w:r>
        <w:rPr>
          <w:rFonts w:ascii="Tahoma" w:hAnsi="Tahoma" w:cs="Tahoma"/>
          <w:sz w:val="24"/>
          <w:szCs w:val="24"/>
        </w:rPr>
        <w:t xml:space="preserve"> were seen on PWTR with the pharmacist making</w:t>
      </w:r>
      <w:r w:rsidRPr="007A399C">
        <w:rPr>
          <w:rFonts w:ascii="Tahoma" w:hAnsi="Tahoma" w:cs="Tahoma"/>
          <w:sz w:val="24"/>
          <w:szCs w:val="24"/>
        </w:rPr>
        <w:t xml:space="preserve"> 1,</w:t>
      </w:r>
      <w:r>
        <w:rPr>
          <w:rFonts w:ascii="Tahoma" w:hAnsi="Tahoma" w:cs="Tahoma"/>
          <w:sz w:val="24"/>
          <w:szCs w:val="24"/>
        </w:rPr>
        <w:t>7</w:t>
      </w:r>
      <w:r w:rsidRPr="007A399C">
        <w:rPr>
          <w:rFonts w:ascii="Tahoma" w:hAnsi="Tahoma" w:cs="Tahoma"/>
          <w:sz w:val="24"/>
          <w:szCs w:val="24"/>
        </w:rPr>
        <w:t xml:space="preserve">77 interventions and </w:t>
      </w:r>
      <w:r>
        <w:rPr>
          <w:rFonts w:ascii="Tahoma" w:hAnsi="Tahoma" w:cs="Tahoma"/>
          <w:sz w:val="24"/>
          <w:szCs w:val="24"/>
        </w:rPr>
        <w:t>an</w:t>
      </w:r>
      <w:r w:rsidRPr="007A399C">
        <w:rPr>
          <w:rFonts w:ascii="Tahoma" w:hAnsi="Tahoma" w:cs="Tahoma"/>
          <w:sz w:val="24"/>
          <w:szCs w:val="24"/>
        </w:rPr>
        <w:t xml:space="preserve"> average </w:t>
      </w:r>
      <w:r>
        <w:rPr>
          <w:rFonts w:ascii="Tahoma" w:hAnsi="Tahoma" w:cs="Tahoma"/>
          <w:sz w:val="24"/>
          <w:szCs w:val="24"/>
        </w:rPr>
        <w:t xml:space="preserve">of </w:t>
      </w:r>
      <w:r w:rsidRPr="007A399C">
        <w:rPr>
          <w:rFonts w:ascii="Tahoma" w:hAnsi="Tahoma" w:cs="Tahoma"/>
          <w:sz w:val="24"/>
          <w:szCs w:val="24"/>
        </w:rPr>
        <w:t xml:space="preserve">3.1 interventions per patient. MedOptimise showed </w:t>
      </w:r>
      <w:r>
        <w:rPr>
          <w:rFonts w:ascii="Tahoma" w:hAnsi="Tahoma" w:cs="Tahoma"/>
          <w:sz w:val="24"/>
          <w:szCs w:val="24"/>
        </w:rPr>
        <w:t>a</w:t>
      </w:r>
      <w:r w:rsidRPr="007A399C">
        <w:rPr>
          <w:rFonts w:ascii="Tahoma" w:hAnsi="Tahoma" w:cs="Tahoma"/>
          <w:sz w:val="24"/>
          <w:szCs w:val="24"/>
        </w:rPr>
        <w:t xml:space="preserve"> 12-month saving of £59,750</w:t>
      </w:r>
      <w:r>
        <w:rPr>
          <w:rFonts w:ascii="Tahoma" w:hAnsi="Tahoma" w:cs="Tahoma"/>
          <w:sz w:val="24"/>
          <w:szCs w:val="24"/>
        </w:rPr>
        <w:t xml:space="preserve">, </w:t>
      </w:r>
      <w:r w:rsidRPr="007A399C">
        <w:rPr>
          <w:rFonts w:ascii="Tahoma" w:hAnsi="Tahoma" w:cs="Tahoma"/>
          <w:sz w:val="24"/>
          <w:szCs w:val="24"/>
        </w:rPr>
        <w:t xml:space="preserve">£55,951 from preventing adverse drug events. All 571 </w:t>
      </w:r>
      <w:r>
        <w:rPr>
          <w:rFonts w:ascii="Tahoma" w:hAnsi="Tahoma" w:cs="Tahoma"/>
          <w:sz w:val="24"/>
          <w:szCs w:val="24"/>
        </w:rPr>
        <w:t>patients had</w:t>
      </w:r>
      <w:r w:rsidRPr="007A399C">
        <w:rPr>
          <w:rFonts w:ascii="Tahoma" w:hAnsi="Tahoma" w:cs="Tahoma"/>
          <w:sz w:val="24"/>
          <w:szCs w:val="24"/>
        </w:rPr>
        <w:t xml:space="preserve"> their medicines reconciled within 24 hours of </w:t>
      </w:r>
      <w:r>
        <w:rPr>
          <w:rFonts w:ascii="Tahoma" w:hAnsi="Tahoma" w:cs="Tahoma"/>
          <w:sz w:val="24"/>
          <w:szCs w:val="24"/>
        </w:rPr>
        <w:t xml:space="preserve">admission. </w:t>
      </w:r>
    </w:p>
    <w:p w14:paraId="79D016C6" w14:textId="62D928B5" w:rsidR="001D73FB" w:rsidRDefault="001D73FB" w:rsidP="00794698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Conclusion:</w:t>
      </w:r>
    </w:p>
    <w:p w14:paraId="2F7C2C52" w14:textId="77777777" w:rsidR="00794698" w:rsidRPr="008707BE" w:rsidRDefault="00794698" w:rsidP="00794698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7A399C">
        <w:rPr>
          <w:rFonts w:ascii="Tahoma" w:hAnsi="Tahoma" w:cs="Tahoma"/>
          <w:sz w:val="24"/>
          <w:szCs w:val="24"/>
        </w:rPr>
        <w:t xml:space="preserve">The primary aims were </w:t>
      </w:r>
      <w:r>
        <w:rPr>
          <w:rFonts w:ascii="Tahoma" w:hAnsi="Tahoma" w:cs="Tahoma"/>
          <w:sz w:val="24"/>
          <w:szCs w:val="24"/>
        </w:rPr>
        <w:t>achieved</w:t>
      </w:r>
      <w:r w:rsidRPr="007A399C">
        <w:rPr>
          <w:rFonts w:ascii="Tahoma" w:hAnsi="Tahoma" w:cs="Tahoma"/>
          <w:sz w:val="24"/>
          <w:szCs w:val="24"/>
        </w:rPr>
        <w:t xml:space="preserve"> by introducing a frailty pharmacist </w:t>
      </w:r>
      <w:r>
        <w:rPr>
          <w:rFonts w:ascii="Tahoma" w:hAnsi="Tahoma" w:cs="Tahoma"/>
          <w:sz w:val="24"/>
          <w:szCs w:val="24"/>
        </w:rPr>
        <w:t>on</w:t>
      </w:r>
      <w:r w:rsidRPr="007A399C">
        <w:rPr>
          <w:rFonts w:ascii="Tahoma" w:hAnsi="Tahoma" w:cs="Tahoma"/>
          <w:sz w:val="24"/>
          <w:szCs w:val="24"/>
        </w:rPr>
        <w:t>to the acute frailty PTWR</w:t>
      </w:r>
      <w:r>
        <w:rPr>
          <w:rFonts w:ascii="Tahoma" w:hAnsi="Tahoma" w:cs="Tahoma"/>
          <w:sz w:val="24"/>
          <w:szCs w:val="24"/>
        </w:rPr>
        <w:t>, optimising pharmaceutical care and recording interventions using the MedOptimise tool</w:t>
      </w:r>
      <w:r w:rsidRPr="007A399C">
        <w:rPr>
          <w:rFonts w:ascii="Tahoma" w:hAnsi="Tahoma" w:cs="Tahoma"/>
          <w:sz w:val="24"/>
          <w:szCs w:val="24"/>
        </w:rPr>
        <w:t>. Medication reconciliation within 24 hours of admission KPI also increase</w:t>
      </w:r>
      <w:r>
        <w:rPr>
          <w:rFonts w:ascii="Tahoma" w:hAnsi="Tahoma" w:cs="Tahoma"/>
          <w:sz w:val="24"/>
          <w:szCs w:val="24"/>
        </w:rPr>
        <w:t>d, crucial for optimising pharmaceutical care and safety.</w:t>
      </w:r>
    </w:p>
    <w:p w14:paraId="3FFB8723" w14:textId="77777777" w:rsidR="00794698" w:rsidRDefault="00794698" w:rsidP="00EF0E17">
      <w:pPr>
        <w:spacing w:after="0"/>
        <w:rPr>
          <w:rFonts w:ascii="Tahoma" w:hAnsi="Tahoma" w:cs="Tahoma"/>
          <w:b/>
          <w:bCs/>
          <w:sz w:val="24"/>
          <w:szCs w:val="24"/>
        </w:rPr>
      </w:pPr>
    </w:p>
    <w:sectPr w:rsidR="00794698" w:rsidSect="00400A84">
      <w:pgSz w:w="11906" w:h="16838"/>
      <w:pgMar w:top="851" w:right="707" w:bottom="284" w:left="851" w:header="708" w:footer="708" w:gutter="0"/>
      <w:pgBorders w:offsetFrom="page">
        <w:top w:val="single" w:sz="18" w:space="24" w:color="32598A"/>
        <w:left w:val="single" w:sz="18" w:space="24" w:color="32598A"/>
        <w:bottom w:val="single" w:sz="18" w:space="24" w:color="32598A"/>
        <w:right w:val="single" w:sz="18" w:space="24" w:color="32598A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766000"/>
    <w:multiLevelType w:val="hybridMultilevel"/>
    <w:tmpl w:val="6A6C19A4"/>
    <w:lvl w:ilvl="0" w:tplc="BC021A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E7A0BC9"/>
    <w:multiLevelType w:val="hybridMultilevel"/>
    <w:tmpl w:val="4956EC42"/>
    <w:lvl w:ilvl="0" w:tplc="4D4820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A84"/>
    <w:rsid w:val="000114E7"/>
    <w:rsid w:val="001300DE"/>
    <w:rsid w:val="00194A45"/>
    <w:rsid w:val="001B1876"/>
    <w:rsid w:val="001D73FB"/>
    <w:rsid w:val="00312351"/>
    <w:rsid w:val="003378B3"/>
    <w:rsid w:val="00400A84"/>
    <w:rsid w:val="006119C3"/>
    <w:rsid w:val="0073698D"/>
    <w:rsid w:val="00794698"/>
    <w:rsid w:val="0084790E"/>
    <w:rsid w:val="00957516"/>
    <w:rsid w:val="00A70F30"/>
    <w:rsid w:val="00AC3303"/>
    <w:rsid w:val="00AF6A30"/>
    <w:rsid w:val="00DB03CE"/>
    <w:rsid w:val="00E0156E"/>
    <w:rsid w:val="00E065C5"/>
    <w:rsid w:val="00E275C5"/>
    <w:rsid w:val="00EA3937"/>
    <w:rsid w:val="00EF0E17"/>
    <w:rsid w:val="00F05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2186C"/>
  <w15:chartTrackingRefBased/>
  <w15:docId w15:val="{877E3000-28B5-4D8B-ADDD-1BF60278B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946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318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Elliott (CTM UHB - Research and Development)</dc:creator>
  <cp:keywords/>
  <dc:description/>
  <cp:lastModifiedBy>Alison Elliott (CTM UHB - Research and Development)</cp:lastModifiedBy>
  <cp:revision>6</cp:revision>
  <dcterms:created xsi:type="dcterms:W3CDTF">2024-11-01T16:03:00Z</dcterms:created>
  <dcterms:modified xsi:type="dcterms:W3CDTF">2024-11-22T09:20:00Z</dcterms:modified>
</cp:coreProperties>
</file>