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193B0732"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481FC6">
        <w:rPr>
          <w:rFonts w:ascii="Tahoma" w:hAnsi="Tahoma" w:cs="Tahoma"/>
          <w:b/>
          <w:bCs/>
          <w:noProof/>
          <w:color w:val="32598A"/>
          <w:sz w:val="28"/>
          <w:szCs w:val="28"/>
        </w:rPr>
        <w:t xml:space="preserve"> 50</w:t>
      </w:r>
    </w:p>
    <w:p w14:paraId="260F8D95" w14:textId="7EABFFF5" w:rsidR="006C44E4" w:rsidRDefault="006C44E4" w:rsidP="00E0156E">
      <w:pPr>
        <w:spacing w:after="0"/>
        <w:rPr>
          <w:rFonts w:ascii="Tahoma" w:hAnsi="Tahoma" w:cs="Tahoma"/>
          <w:noProof/>
          <w:sz w:val="24"/>
          <w:szCs w:val="24"/>
        </w:rPr>
      </w:pPr>
      <w:r w:rsidRPr="008E7187">
        <w:rPr>
          <w:rFonts w:ascii="Tahoma" w:hAnsi="Tahoma" w:cs="Tahoma"/>
          <w:noProof/>
          <w:sz w:val="24"/>
          <w:szCs w:val="24"/>
        </w:rPr>
        <w:t>The Think Quit Study: A mixed methods approach to understanding the barriers and facilitators to nurses discussing smoking cessation with patients in hospital settings in Wales</w:t>
      </w:r>
      <w:r>
        <w:rPr>
          <w:rFonts w:ascii="Tahoma" w:hAnsi="Tahoma" w:cs="Tahoma"/>
          <w:noProof/>
          <w:sz w:val="24"/>
          <w:szCs w:val="24"/>
        </w:rPr>
        <w:t>.</w:t>
      </w:r>
    </w:p>
    <w:p w14:paraId="27875C62" w14:textId="77777777" w:rsidR="006C44E4" w:rsidRPr="006C44E4" w:rsidRDefault="006C44E4" w:rsidP="00E0156E">
      <w:pPr>
        <w:spacing w:after="0"/>
        <w:rPr>
          <w:rFonts w:ascii="Tahoma" w:hAnsi="Tahoma" w:cs="Tahoma"/>
          <w:b/>
          <w:bCs/>
          <w:noProof/>
          <w:color w:val="32598A"/>
          <w:sz w:val="16"/>
          <w:szCs w:val="16"/>
        </w:rPr>
      </w:pPr>
    </w:p>
    <w:p w14:paraId="5CFA3287" w14:textId="27002CA6"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6C44E4">
        <w:rPr>
          <w:rFonts w:ascii="Tahoma" w:hAnsi="Tahoma" w:cs="Tahoma"/>
          <w:noProof/>
          <w:sz w:val="24"/>
          <w:szCs w:val="24"/>
        </w:rPr>
        <w:t>Elliott, M</w:t>
      </w:r>
      <w:r w:rsidR="006C44E4">
        <w:rPr>
          <w:rFonts w:ascii="Tahoma" w:hAnsi="Tahoma" w:cs="Tahoma"/>
          <w:noProof/>
          <w:sz w:val="24"/>
          <w:szCs w:val="24"/>
          <w:vertAlign w:val="superscript"/>
        </w:rPr>
        <w:t>1</w:t>
      </w:r>
      <w:r w:rsidR="006C44E4">
        <w:rPr>
          <w:rFonts w:ascii="Tahoma" w:hAnsi="Tahoma" w:cs="Tahoma"/>
          <w:noProof/>
          <w:sz w:val="24"/>
          <w:szCs w:val="24"/>
        </w:rPr>
        <w:t xml:space="preserve">., </w:t>
      </w:r>
      <w:r w:rsidR="006C44E4">
        <w:rPr>
          <w:rFonts w:ascii="Tahoma" w:hAnsi="Tahoma" w:cs="Tahoma"/>
          <w:sz w:val="24"/>
          <w:szCs w:val="24"/>
        </w:rPr>
        <w:t>Price, K.M</w:t>
      </w:r>
      <w:r w:rsidR="006C44E4">
        <w:rPr>
          <w:rFonts w:ascii="Tahoma" w:hAnsi="Tahoma" w:cs="Tahoma"/>
          <w:sz w:val="24"/>
          <w:szCs w:val="24"/>
          <w:vertAlign w:val="superscript"/>
        </w:rPr>
        <w:t>1</w:t>
      </w:r>
      <w:r w:rsidR="006C44E4">
        <w:rPr>
          <w:rFonts w:ascii="Tahoma" w:hAnsi="Tahoma" w:cs="Tahoma"/>
          <w:sz w:val="24"/>
          <w:szCs w:val="24"/>
        </w:rPr>
        <w:t>., Hewitt, R</w:t>
      </w:r>
      <w:r w:rsidR="00970486">
        <w:rPr>
          <w:rFonts w:ascii="Tahoma" w:hAnsi="Tahoma" w:cs="Tahoma"/>
          <w:sz w:val="24"/>
          <w:szCs w:val="24"/>
          <w:vertAlign w:val="superscript"/>
        </w:rPr>
        <w:t>1</w:t>
      </w:r>
      <w:r w:rsidR="006C44E4">
        <w:rPr>
          <w:rFonts w:ascii="Tahoma" w:hAnsi="Tahoma" w:cs="Tahoma"/>
          <w:sz w:val="24"/>
          <w:szCs w:val="24"/>
        </w:rPr>
        <w:t>., Jones, L</w:t>
      </w:r>
      <w:r w:rsidR="006C44E4">
        <w:rPr>
          <w:rFonts w:ascii="Tahoma" w:hAnsi="Tahoma" w:cs="Tahoma"/>
          <w:sz w:val="24"/>
          <w:szCs w:val="24"/>
          <w:vertAlign w:val="superscript"/>
        </w:rPr>
        <w:t>2</w:t>
      </w:r>
      <w:r w:rsidR="006C44E4">
        <w:rPr>
          <w:rFonts w:ascii="Tahoma" w:hAnsi="Tahoma" w:cs="Tahoma"/>
          <w:sz w:val="24"/>
          <w:szCs w:val="24"/>
        </w:rPr>
        <w:t>.</w:t>
      </w:r>
    </w:p>
    <w:p w14:paraId="0EF06F1D" w14:textId="10C5F07C" w:rsidR="0073698D" w:rsidRPr="006C44E4"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6C44E4" w:rsidRPr="006C44E4">
        <w:rPr>
          <w:rFonts w:ascii="Tahoma" w:hAnsi="Tahoma" w:cs="Tahoma"/>
          <w:noProof/>
          <w:sz w:val="24"/>
          <w:szCs w:val="24"/>
        </w:rPr>
        <w:t xml:space="preserve"> </w:t>
      </w:r>
      <w:r w:rsidR="006C44E4">
        <w:rPr>
          <w:rFonts w:ascii="Tahoma" w:hAnsi="Tahoma" w:cs="Tahoma"/>
          <w:noProof/>
          <w:sz w:val="24"/>
          <w:szCs w:val="24"/>
          <w:vertAlign w:val="superscript"/>
        </w:rPr>
        <w:t>1</w:t>
      </w:r>
      <w:r w:rsidR="006C44E4">
        <w:rPr>
          <w:rFonts w:ascii="Tahoma" w:hAnsi="Tahoma" w:cs="Tahoma"/>
          <w:noProof/>
          <w:sz w:val="24"/>
          <w:szCs w:val="24"/>
        </w:rPr>
        <w:t xml:space="preserve">Research &amp; Development, Cwm Taf Morgannwg University Health Board. </w:t>
      </w:r>
      <w:r w:rsidR="006C44E4" w:rsidRPr="006C44E4">
        <w:rPr>
          <w:rFonts w:ascii="Tahoma" w:hAnsi="Tahoma" w:cs="Tahoma"/>
          <w:noProof/>
          <w:sz w:val="24"/>
          <w:szCs w:val="24"/>
        </w:rPr>
        <w:t xml:space="preserve"> </w:t>
      </w:r>
      <w:r w:rsidR="006C44E4">
        <w:rPr>
          <w:rFonts w:ascii="Tahoma" w:hAnsi="Tahoma" w:cs="Tahoma"/>
          <w:noProof/>
          <w:sz w:val="24"/>
          <w:szCs w:val="24"/>
          <w:vertAlign w:val="superscript"/>
        </w:rPr>
        <w:t>2</w:t>
      </w:r>
      <w:r w:rsidR="006C44E4">
        <w:rPr>
          <w:rFonts w:ascii="Tahoma" w:hAnsi="Tahoma" w:cs="Tahoma"/>
          <w:noProof/>
          <w:sz w:val="24"/>
          <w:szCs w:val="24"/>
        </w:rPr>
        <w:t xml:space="preserve">Public Health; </w:t>
      </w:r>
      <w:r w:rsidR="006C44E4" w:rsidRPr="008E7187">
        <w:rPr>
          <w:rFonts w:ascii="Tahoma" w:hAnsi="Tahoma" w:cs="Tahoma"/>
          <w:noProof/>
          <w:sz w:val="24"/>
          <w:szCs w:val="24"/>
        </w:rPr>
        <w:t>Faculty of Life Science and Education</w:t>
      </w:r>
      <w:r w:rsidR="006C44E4">
        <w:rPr>
          <w:rFonts w:ascii="Tahoma" w:hAnsi="Tahoma" w:cs="Tahoma"/>
          <w:noProof/>
          <w:sz w:val="24"/>
          <w:szCs w:val="24"/>
        </w:rPr>
        <w:t>, University of South Wales.</w:t>
      </w:r>
    </w:p>
    <w:p w14:paraId="5C2DF48A" w14:textId="77777777" w:rsidR="001D73FB" w:rsidRPr="00101A21" w:rsidRDefault="001D73FB" w:rsidP="001D73FB">
      <w:pPr>
        <w:shd w:val="clear" w:color="auto" w:fill="32598A"/>
        <w:rPr>
          <w:color w:val="0066CC"/>
        </w:rPr>
      </w:pPr>
    </w:p>
    <w:p w14:paraId="538FA88B" w14:textId="2775F3DB" w:rsidR="00400A84" w:rsidRDefault="001D73FB" w:rsidP="006C44E4">
      <w:pPr>
        <w:spacing w:after="0" w:line="240" w:lineRule="auto"/>
        <w:jc w:val="both"/>
        <w:rPr>
          <w:rFonts w:ascii="Tahoma" w:hAnsi="Tahoma" w:cs="Tahoma"/>
          <w:b/>
          <w:bCs/>
          <w:sz w:val="24"/>
          <w:szCs w:val="24"/>
        </w:rPr>
      </w:pPr>
      <w:r>
        <w:rPr>
          <w:rFonts w:ascii="Tahoma" w:hAnsi="Tahoma" w:cs="Tahoma"/>
          <w:b/>
          <w:bCs/>
          <w:sz w:val="24"/>
          <w:szCs w:val="24"/>
        </w:rPr>
        <w:t>Introduction:</w:t>
      </w:r>
    </w:p>
    <w:p w14:paraId="7318CD4E" w14:textId="198924BF" w:rsidR="006C44E4" w:rsidRDefault="006C44E4" w:rsidP="006C44E4">
      <w:pPr>
        <w:spacing w:line="240" w:lineRule="auto"/>
        <w:jc w:val="both"/>
        <w:rPr>
          <w:rFonts w:ascii="Tahoma" w:hAnsi="Tahoma" w:cs="Tahoma"/>
          <w:b/>
          <w:bCs/>
          <w:sz w:val="24"/>
          <w:szCs w:val="24"/>
        </w:rPr>
      </w:pPr>
      <w:r w:rsidRPr="008E7187">
        <w:rPr>
          <w:rFonts w:ascii="Tahoma" w:hAnsi="Tahoma" w:cs="Tahoma"/>
          <w:noProof/>
          <w:sz w:val="24"/>
          <w:szCs w:val="24"/>
        </w:rPr>
        <w:t xml:space="preserve">Smoking is the leading cause of chronic respiratory diseases and preventable death in Wales. Wales aims to be ‘smoke-free’ by 2030 and </w:t>
      </w:r>
      <w:r>
        <w:rPr>
          <w:rFonts w:ascii="Tahoma" w:hAnsi="Tahoma" w:cs="Tahoma"/>
          <w:noProof/>
          <w:sz w:val="24"/>
          <w:szCs w:val="24"/>
        </w:rPr>
        <w:t xml:space="preserve">national </w:t>
      </w:r>
      <w:r w:rsidRPr="008E7187">
        <w:rPr>
          <w:rFonts w:ascii="Tahoma" w:hAnsi="Tahoma" w:cs="Tahoma"/>
          <w:noProof/>
          <w:sz w:val="24"/>
          <w:szCs w:val="24"/>
        </w:rPr>
        <w:t xml:space="preserve">Public Health services such as ‘Help Me Quit’ </w:t>
      </w:r>
      <w:r>
        <w:rPr>
          <w:rFonts w:ascii="Tahoma" w:hAnsi="Tahoma" w:cs="Tahoma"/>
          <w:noProof/>
          <w:sz w:val="24"/>
          <w:szCs w:val="24"/>
        </w:rPr>
        <w:t>can</w:t>
      </w:r>
      <w:r w:rsidRPr="008E7187">
        <w:rPr>
          <w:rFonts w:ascii="Tahoma" w:hAnsi="Tahoma" w:cs="Tahoma"/>
          <w:noProof/>
          <w:sz w:val="24"/>
          <w:szCs w:val="24"/>
        </w:rPr>
        <w:t xml:space="preserve"> support people to quit. Nurses play a critical role in identifying smokers and promoting smoking cessation in hospital settings, but report barriers, which make discussions, referral and intervention difficult to implement</w:t>
      </w:r>
    </w:p>
    <w:p w14:paraId="7348F163" w14:textId="4E3F3835" w:rsidR="001D73FB" w:rsidRDefault="001D73FB" w:rsidP="006C44E4">
      <w:pPr>
        <w:spacing w:after="0" w:line="240" w:lineRule="auto"/>
        <w:jc w:val="both"/>
        <w:rPr>
          <w:rFonts w:ascii="Tahoma" w:hAnsi="Tahoma" w:cs="Tahoma"/>
          <w:b/>
          <w:bCs/>
          <w:sz w:val="24"/>
          <w:szCs w:val="24"/>
        </w:rPr>
      </w:pPr>
      <w:r>
        <w:rPr>
          <w:rFonts w:ascii="Tahoma" w:hAnsi="Tahoma" w:cs="Tahoma"/>
          <w:b/>
          <w:bCs/>
          <w:sz w:val="24"/>
          <w:szCs w:val="24"/>
        </w:rPr>
        <w:t>Aim:</w:t>
      </w:r>
    </w:p>
    <w:p w14:paraId="6A5C36F2" w14:textId="5C2BB0F3" w:rsidR="006C44E4" w:rsidRDefault="006C44E4" w:rsidP="006C44E4">
      <w:pPr>
        <w:spacing w:after="0" w:line="240" w:lineRule="auto"/>
        <w:jc w:val="both"/>
        <w:rPr>
          <w:rFonts w:ascii="Tahoma" w:hAnsi="Tahoma" w:cs="Tahoma"/>
          <w:noProof/>
          <w:sz w:val="24"/>
          <w:szCs w:val="24"/>
        </w:rPr>
      </w:pPr>
      <w:r w:rsidRPr="008E7187">
        <w:rPr>
          <w:rFonts w:ascii="Tahoma" w:hAnsi="Tahoma" w:cs="Tahoma"/>
          <w:noProof/>
          <w:sz w:val="24"/>
          <w:szCs w:val="24"/>
        </w:rPr>
        <w:t>This</w:t>
      </w:r>
      <w:r>
        <w:rPr>
          <w:rFonts w:ascii="Tahoma" w:hAnsi="Tahoma" w:cs="Tahoma"/>
          <w:noProof/>
          <w:sz w:val="24"/>
          <w:szCs w:val="24"/>
        </w:rPr>
        <w:t xml:space="preserve"> study aimed</w:t>
      </w:r>
      <w:r w:rsidRPr="008E7187">
        <w:rPr>
          <w:rFonts w:ascii="Tahoma" w:hAnsi="Tahoma" w:cs="Tahoma"/>
          <w:noProof/>
          <w:sz w:val="24"/>
          <w:szCs w:val="24"/>
        </w:rPr>
        <w:t xml:space="preserve"> to apply a systematic and theoretical approach to understanding the experiences of nurses and patients, including barriers and facilitators, </w:t>
      </w:r>
      <w:r>
        <w:rPr>
          <w:rFonts w:ascii="Tahoma" w:hAnsi="Tahoma" w:cs="Tahoma"/>
          <w:noProof/>
          <w:sz w:val="24"/>
          <w:szCs w:val="24"/>
        </w:rPr>
        <w:t>when</w:t>
      </w:r>
      <w:r w:rsidRPr="008E7187">
        <w:rPr>
          <w:rFonts w:ascii="Tahoma" w:hAnsi="Tahoma" w:cs="Tahoma"/>
          <w:noProof/>
          <w:sz w:val="24"/>
          <w:szCs w:val="24"/>
        </w:rPr>
        <w:t xml:space="preserve"> discussing smoking cessation in hospital settings</w:t>
      </w:r>
      <w:r>
        <w:rPr>
          <w:rFonts w:ascii="Tahoma" w:hAnsi="Tahoma" w:cs="Tahoma"/>
          <w:noProof/>
          <w:sz w:val="24"/>
          <w:szCs w:val="24"/>
        </w:rPr>
        <w:t>.</w:t>
      </w:r>
    </w:p>
    <w:p w14:paraId="13304DD2" w14:textId="77777777" w:rsidR="006C44E4" w:rsidRPr="006C44E4" w:rsidRDefault="006C44E4" w:rsidP="006C44E4">
      <w:pPr>
        <w:spacing w:after="0" w:line="240" w:lineRule="auto"/>
        <w:jc w:val="both"/>
        <w:rPr>
          <w:rFonts w:ascii="Tahoma" w:hAnsi="Tahoma" w:cs="Tahoma"/>
          <w:b/>
          <w:bCs/>
          <w:sz w:val="16"/>
          <w:szCs w:val="16"/>
        </w:rPr>
      </w:pPr>
    </w:p>
    <w:p w14:paraId="4F0C03D1" w14:textId="104C5553" w:rsidR="001D73FB" w:rsidRDefault="001D73FB" w:rsidP="006C44E4">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12A9E1B1" w:rsidR="00312351" w:rsidRDefault="006C44E4" w:rsidP="006C44E4">
      <w:pPr>
        <w:spacing w:after="0" w:line="240" w:lineRule="auto"/>
        <w:jc w:val="both"/>
        <w:rPr>
          <w:rFonts w:ascii="Tahoma" w:hAnsi="Tahoma" w:cs="Tahoma"/>
          <w:noProof/>
          <w:sz w:val="24"/>
          <w:szCs w:val="24"/>
        </w:rPr>
      </w:pPr>
      <w:r>
        <w:rPr>
          <w:rFonts w:ascii="Tahoma" w:hAnsi="Tahoma" w:cs="Tahoma"/>
          <w:sz w:val="24"/>
          <w:szCs w:val="24"/>
        </w:rPr>
        <w:t>We</w:t>
      </w:r>
      <w:r w:rsidRPr="008E7187">
        <w:rPr>
          <w:rFonts w:ascii="Tahoma" w:hAnsi="Tahoma" w:cs="Tahoma"/>
          <w:noProof/>
          <w:sz w:val="24"/>
          <w:szCs w:val="24"/>
        </w:rPr>
        <w:t xml:space="preserve"> employed a convergent mixed methods design; including qualitative, semi-structured focus groups or individual interviews, and a mixed-methods survey with nurses working in secondary care settings in CTM UHB, and semi-structured interviews with hospital patients. Data collection and analysis were informed by the Theoretical Domains Framework (TDF) and COM-B Model of behaviour change. Data analysis is ongoing (as of </w:t>
      </w:r>
      <w:r>
        <w:rPr>
          <w:rFonts w:ascii="Tahoma" w:hAnsi="Tahoma" w:cs="Tahoma"/>
          <w:noProof/>
          <w:sz w:val="24"/>
          <w:szCs w:val="24"/>
        </w:rPr>
        <w:t>October</w:t>
      </w:r>
      <w:r w:rsidRPr="008E7187">
        <w:rPr>
          <w:rFonts w:ascii="Tahoma" w:hAnsi="Tahoma" w:cs="Tahoma"/>
          <w:noProof/>
          <w:sz w:val="24"/>
          <w:szCs w:val="24"/>
        </w:rPr>
        <w:t xml:space="preserve"> 2024); qualitative and quantitative data are being analysed separately using Framework Analysis and descriptive statistics (respectively) before data synthesis and triangulation</w:t>
      </w:r>
      <w:r>
        <w:rPr>
          <w:rFonts w:ascii="Tahoma" w:hAnsi="Tahoma" w:cs="Tahoma"/>
          <w:noProof/>
          <w:sz w:val="24"/>
          <w:szCs w:val="24"/>
        </w:rPr>
        <w:t>.</w:t>
      </w:r>
    </w:p>
    <w:p w14:paraId="1A43F43B" w14:textId="77777777" w:rsidR="006C44E4" w:rsidRPr="006C44E4" w:rsidRDefault="006C44E4" w:rsidP="006C44E4">
      <w:pPr>
        <w:spacing w:after="0" w:line="240" w:lineRule="auto"/>
        <w:jc w:val="both"/>
        <w:rPr>
          <w:rFonts w:ascii="Tahoma" w:hAnsi="Tahoma" w:cs="Tahoma"/>
          <w:sz w:val="16"/>
          <w:szCs w:val="16"/>
        </w:rPr>
      </w:pPr>
    </w:p>
    <w:p w14:paraId="335C0979" w14:textId="3C2EDE98" w:rsidR="001D73FB" w:rsidRDefault="001D73FB" w:rsidP="006C44E4">
      <w:pPr>
        <w:spacing w:after="0" w:line="240" w:lineRule="auto"/>
        <w:jc w:val="both"/>
        <w:rPr>
          <w:rFonts w:ascii="Tahoma" w:hAnsi="Tahoma" w:cs="Tahoma"/>
          <w:b/>
          <w:bCs/>
          <w:sz w:val="24"/>
          <w:szCs w:val="24"/>
        </w:rPr>
      </w:pPr>
      <w:r>
        <w:rPr>
          <w:rFonts w:ascii="Tahoma" w:hAnsi="Tahoma" w:cs="Tahoma"/>
          <w:b/>
          <w:bCs/>
          <w:sz w:val="24"/>
          <w:szCs w:val="24"/>
        </w:rPr>
        <w:t>Results:</w:t>
      </w:r>
    </w:p>
    <w:p w14:paraId="6D1E3DC4" w14:textId="4BB43D7E" w:rsidR="006C44E4" w:rsidRDefault="006C44E4" w:rsidP="006C44E4">
      <w:pPr>
        <w:spacing w:after="0" w:line="240" w:lineRule="auto"/>
        <w:jc w:val="both"/>
        <w:rPr>
          <w:rFonts w:ascii="Tahoma" w:hAnsi="Tahoma" w:cs="Tahoma"/>
          <w:noProof/>
          <w:sz w:val="24"/>
          <w:szCs w:val="24"/>
        </w:rPr>
      </w:pPr>
      <w:r>
        <w:rPr>
          <w:rFonts w:ascii="Tahoma" w:hAnsi="Tahoma" w:cs="Tahoma"/>
          <w:sz w:val="24"/>
          <w:szCs w:val="24"/>
        </w:rPr>
        <w:t xml:space="preserve">To date, </w:t>
      </w:r>
      <w:r>
        <w:rPr>
          <w:rFonts w:ascii="Tahoma" w:hAnsi="Tahoma" w:cs="Tahoma"/>
          <w:noProof/>
          <w:sz w:val="24"/>
          <w:szCs w:val="24"/>
        </w:rPr>
        <w:t>111 nurses have completed the survey, with respondees covering a range of specialities, hospital sites and roles. Seven focus groups/interviews were held with nursing and midwifery staff (n=21). Preliminary analysis indiciates that TDF domains such as knowledge (procedural), beliefs about capabilities and consequences and stress on environmental context and resources underpin the target behaviours. Initial codes regarding patient beliefs and patient behaviours have also been identified. Patient interviews have yet to take place.</w:t>
      </w:r>
    </w:p>
    <w:p w14:paraId="5CA7DCF8" w14:textId="77777777" w:rsidR="006C44E4" w:rsidRPr="006C44E4" w:rsidRDefault="006C44E4" w:rsidP="006C44E4">
      <w:pPr>
        <w:spacing w:after="0" w:line="240" w:lineRule="auto"/>
        <w:jc w:val="both"/>
        <w:rPr>
          <w:rFonts w:ascii="Tahoma" w:hAnsi="Tahoma" w:cs="Tahoma"/>
          <w:b/>
          <w:bCs/>
          <w:sz w:val="16"/>
          <w:szCs w:val="16"/>
        </w:rPr>
      </w:pPr>
    </w:p>
    <w:p w14:paraId="79D016C6" w14:textId="490E65FC" w:rsidR="001D73FB" w:rsidRDefault="001D73FB" w:rsidP="006C44E4">
      <w:pPr>
        <w:spacing w:after="0" w:line="240" w:lineRule="auto"/>
        <w:jc w:val="both"/>
        <w:rPr>
          <w:rFonts w:ascii="Tahoma" w:hAnsi="Tahoma" w:cs="Tahoma"/>
          <w:b/>
          <w:bCs/>
          <w:sz w:val="24"/>
          <w:szCs w:val="24"/>
        </w:rPr>
      </w:pPr>
      <w:r>
        <w:rPr>
          <w:rFonts w:ascii="Tahoma" w:hAnsi="Tahoma" w:cs="Tahoma"/>
          <w:b/>
          <w:bCs/>
          <w:sz w:val="24"/>
          <w:szCs w:val="24"/>
        </w:rPr>
        <w:t>Conclusion:</w:t>
      </w:r>
    </w:p>
    <w:p w14:paraId="486B4E3C" w14:textId="47EEB965" w:rsidR="006C44E4" w:rsidRDefault="002C77C0" w:rsidP="006C44E4">
      <w:pPr>
        <w:spacing w:after="0" w:line="240" w:lineRule="auto"/>
        <w:jc w:val="both"/>
        <w:rPr>
          <w:rFonts w:ascii="Tahoma" w:hAnsi="Tahoma" w:cs="Tahoma"/>
          <w:b/>
          <w:bCs/>
          <w:sz w:val="24"/>
          <w:szCs w:val="24"/>
        </w:rPr>
      </w:pPr>
      <w:r>
        <w:rPr>
          <w:rFonts w:ascii="Tahoma" w:hAnsi="Tahoma" w:cs="Tahoma"/>
          <w:noProof/>
          <w:sz w:val="24"/>
          <w:szCs w:val="24"/>
        </w:rPr>
        <w:t>T</w:t>
      </w:r>
      <w:r w:rsidR="006C44E4" w:rsidRPr="008E7187">
        <w:rPr>
          <w:rFonts w:ascii="Tahoma" w:hAnsi="Tahoma" w:cs="Tahoma"/>
          <w:noProof/>
          <w:sz w:val="24"/>
          <w:szCs w:val="24"/>
        </w:rPr>
        <w:t>hese findings will inform</w:t>
      </w:r>
      <w:r w:rsidR="006C44E4">
        <w:rPr>
          <w:rFonts w:ascii="Tahoma" w:hAnsi="Tahoma" w:cs="Tahoma"/>
          <w:noProof/>
          <w:sz w:val="24"/>
          <w:szCs w:val="24"/>
        </w:rPr>
        <w:t xml:space="preserve"> two subsequent phases of the Think Quit study, which aims to co-develop a behaviour change intervention for nurses through a series of workshops (phase 2), and pilot test the intervention in practice to test acceptability and feasibility (phase 3).</w:t>
      </w:r>
    </w:p>
    <w:sectPr w:rsidR="006C44E4"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C77C0"/>
    <w:rsid w:val="00312351"/>
    <w:rsid w:val="003378B3"/>
    <w:rsid w:val="00400A84"/>
    <w:rsid w:val="00481FC6"/>
    <w:rsid w:val="006C44E4"/>
    <w:rsid w:val="0073698D"/>
    <w:rsid w:val="0084790E"/>
    <w:rsid w:val="00957516"/>
    <w:rsid w:val="0097048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386</Words>
  <Characters>2203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cp:lastPrinted>2024-11-22T16:55:00Z</cp:lastPrinted>
  <dcterms:created xsi:type="dcterms:W3CDTF">2024-11-13T12:37:00Z</dcterms:created>
  <dcterms:modified xsi:type="dcterms:W3CDTF">2024-11-22T16:55:00Z</dcterms:modified>
</cp:coreProperties>
</file>