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717965A"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A32DE">
        <w:rPr>
          <w:rFonts w:ascii="Tahoma" w:hAnsi="Tahoma" w:cs="Tahoma"/>
          <w:b/>
          <w:bCs/>
          <w:noProof/>
          <w:color w:val="32598A"/>
          <w:sz w:val="28"/>
          <w:szCs w:val="28"/>
        </w:rPr>
        <w:t xml:space="preserve"> 49</w:t>
      </w:r>
    </w:p>
    <w:p w14:paraId="3217B973" w14:textId="35C7C976" w:rsidR="004E1810" w:rsidRDefault="002A32DE" w:rsidP="00E0156E">
      <w:pPr>
        <w:spacing w:after="0"/>
        <w:rPr>
          <w:rFonts w:ascii="Tahoma" w:hAnsi="Tahoma" w:cs="Tahoma"/>
          <w:sz w:val="24"/>
          <w:szCs w:val="24"/>
        </w:rPr>
      </w:pPr>
      <w:sdt>
        <w:sdtPr>
          <w:rPr>
            <w:rFonts w:ascii="Tahoma" w:hAnsi="Tahoma" w:cs="Tahoma"/>
            <w:sz w:val="24"/>
            <w:szCs w:val="24"/>
          </w:rPr>
          <w:id w:val="495000437"/>
          <w:placeholder>
            <w:docPart w:val="A11C91497FA2425B952FE1136606E09E"/>
          </w:placeholder>
          <w:text/>
        </w:sdtPr>
        <w:sdtEndPr/>
        <w:sdtContent>
          <w:r w:rsidR="004E1810">
            <w:rPr>
              <w:rFonts w:ascii="Tahoma" w:hAnsi="Tahoma" w:cs="Tahoma"/>
              <w:sz w:val="24"/>
              <w:szCs w:val="24"/>
            </w:rPr>
            <w:t xml:space="preserve">An </w:t>
          </w:r>
          <w:r>
            <w:rPr>
              <w:rFonts w:ascii="Tahoma" w:hAnsi="Tahoma" w:cs="Tahoma"/>
              <w:sz w:val="24"/>
              <w:szCs w:val="24"/>
            </w:rPr>
            <w:t>E</w:t>
          </w:r>
          <w:r w:rsidR="004E1810">
            <w:rPr>
              <w:rFonts w:ascii="Tahoma" w:hAnsi="Tahoma" w:cs="Tahoma"/>
              <w:sz w:val="24"/>
              <w:szCs w:val="24"/>
            </w:rPr>
            <w:t xml:space="preserve">valuation of </w:t>
          </w:r>
          <w:r>
            <w:rPr>
              <w:rFonts w:ascii="Tahoma" w:hAnsi="Tahoma" w:cs="Tahoma"/>
              <w:sz w:val="24"/>
              <w:szCs w:val="24"/>
            </w:rPr>
            <w:t>P</w:t>
          </w:r>
          <w:r w:rsidR="004E1810">
            <w:rPr>
              <w:rFonts w:ascii="Tahoma" w:hAnsi="Tahoma" w:cs="Tahoma"/>
              <w:sz w:val="24"/>
              <w:szCs w:val="24"/>
            </w:rPr>
            <w:t xml:space="preserve">atient </w:t>
          </w:r>
          <w:r>
            <w:rPr>
              <w:rFonts w:ascii="Tahoma" w:hAnsi="Tahoma" w:cs="Tahoma"/>
              <w:sz w:val="24"/>
              <w:szCs w:val="24"/>
            </w:rPr>
            <w:t>S</w:t>
          </w:r>
          <w:r w:rsidR="004E1810">
            <w:rPr>
              <w:rFonts w:ascii="Tahoma" w:hAnsi="Tahoma" w:cs="Tahoma"/>
              <w:sz w:val="24"/>
              <w:szCs w:val="24"/>
            </w:rPr>
            <w:t xml:space="preserve">afety </w:t>
          </w:r>
          <w:r>
            <w:rPr>
              <w:rFonts w:ascii="Tahoma" w:hAnsi="Tahoma" w:cs="Tahoma"/>
              <w:sz w:val="24"/>
              <w:szCs w:val="24"/>
            </w:rPr>
            <w:t>C</w:t>
          </w:r>
          <w:r w:rsidR="004E1810">
            <w:rPr>
              <w:rFonts w:ascii="Tahoma" w:hAnsi="Tahoma" w:cs="Tahoma"/>
              <w:sz w:val="24"/>
              <w:szCs w:val="24"/>
            </w:rPr>
            <w:t xml:space="preserve">ulture in the </w:t>
          </w:r>
          <w:r>
            <w:rPr>
              <w:rFonts w:ascii="Tahoma" w:hAnsi="Tahoma" w:cs="Tahoma"/>
              <w:sz w:val="24"/>
              <w:szCs w:val="24"/>
            </w:rPr>
            <w:t>P</w:t>
          </w:r>
          <w:r w:rsidR="004E1810">
            <w:rPr>
              <w:rFonts w:ascii="Tahoma" w:hAnsi="Tahoma" w:cs="Tahoma"/>
              <w:sz w:val="24"/>
              <w:szCs w:val="24"/>
            </w:rPr>
            <w:t xml:space="preserve">aediatric </w:t>
          </w:r>
          <w:r>
            <w:rPr>
              <w:rFonts w:ascii="Tahoma" w:hAnsi="Tahoma" w:cs="Tahoma"/>
              <w:sz w:val="24"/>
              <w:szCs w:val="24"/>
            </w:rPr>
            <w:t>S</w:t>
          </w:r>
          <w:r w:rsidR="004E1810">
            <w:rPr>
              <w:rFonts w:ascii="Tahoma" w:hAnsi="Tahoma" w:cs="Tahoma"/>
              <w:sz w:val="24"/>
              <w:szCs w:val="24"/>
            </w:rPr>
            <w:t>ervice</w:t>
          </w:r>
        </w:sdtContent>
      </w:sdt>
      <w:r w:rsidR="00230F7A">
        <w:rPr>
          <w:rFonts w:ascii="Tahoma" w:hAnsi="Tahoma" w:cs="Tahoma"/>
          <w:sz w:val="24"/>
          <w:szCs w:val="24"/>
        </w:rPr>
        <w:t>.</w:t>
      </w:r>
    </w:p>
    <w:p w14:paraId="7B7F761A" w14:textId="77777777" w:rsidR="00230F7A" w:rsidRPr="00230F7A" w:rsidRDefault="00230F7A" w:rsidP="00E0156E">
      <w:pPr>
        <w:spacing w:after="0"/>
        <w:rPr>
          <w:rFonts w:ascii="Tahoma" w:hAnsi="Tahoma" w:cs="Tahoma"/>
          <w:b/>
          <w:bCs/>
          <w:noProof/>
          <w:color w:val="32598A"/>
          <w:sz w:val="16"/>
          <w:szCs w:val="16"/>
        </w:rPr>
      </w:pPr>
    </w:p>
    <w:p w14:paraId="5CFA3287" w14:textId="21E7E1F2"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230F7A">
        <w:rPr>
          <w:rFonts w:ascii="Tahoma" w:hAnsi="Tahoma" w:cs="Tahoma"/>
          <w:b/>
          <w:bCs/>
          <w:noProof/>
          <w:color w:val="32598A"/>
          <w:sz w:val="28"/>
          <w:szCs w:val="28"/>
        </w:rPr>
        <w:t xml:space="preserve"> </w:t>
      </w:r>
      <w:r w:rsidR="00230F7A">
        <w:rPr>
          <w:rFonts w:ascii="Tahoma" w:hAnsi="Tahoma" w:cs="Tahoma"/>
          <w:noProof/>
          <w:sz w:val="24"/>
          <w:szCs w:val="24"/>
        </w:rPr>
        <w:t>Sheikh, N</w:t>
      </w:r>
      <w:r w:rsidR="00230F7A">
        <w:rPr>
          <w:rFonts w:ascii="Tahoma" w:hAnsi="Tahoma" w:cs="Tahoma"/>
          <w:noProof/>
          <w:sz w:val="24"/>
          <w:szCs w:val="24"/>
          <w:vertAlign w:val="superscript"/>
        </w:rPr>
        <w:t>1</w:t>
      </w:r>
      <w:r w:rsidR="00230F7A">
        <w:rPr>
          <w:rFonts w:ascii="Tahoma" w:hAnsi="Tahoma" w:cs="Tahoma"/>
          <w:noProof/>
          <w:sz w:val="24"/>
          <w:szCs w:val="24"/>
        </w:rPr>
        <w:t>., Al-Muzaffar, I</w:t>
      </w:r>
      <w:r w:rsidR="00230F7A">
        <w:rPr>
          <w:rFonts w:ascii="Tahoma" w:hAnsi="Tahoma" w:cs="Tahoma"/>
          <w:noProof/>
          <w:sz w:val="24"/>
          <w:szCs w:val="24"/>
          <w:vertAlign w:val="superscript"/>
        </w:rPr>
        <w:t>2</w:t>
      </w:r>
      <w:r w:rsidR="00230F7A">
        <w:rPr>
          <w:rFonts w:ascii="Tahoma" w:hAnsi="Tahoma" w:cs="Tahoma"/>
          <w:noProof/>
          <w:sz w:val="24"/>
          <w:szCs w:val="24"/>
        </w:rPr>
        <w:t>.</w:t>
      </w:r>
      <w:r w:rsidR="00230F7A">
        <w:rPr>
          <w:rFonts w:ascii="Tahoma" w:hAnsi="Tahoma" w:cs="Tahoma"/>
          <w:b/>
          <w:bCs/>
          <w:noProof/>
          <w:color w:val="32598A"/>
          <w:sz w:val="28"/>
          <w:szCs w:val="28"/>
        </w:rPr>
        <w:t xml:space="preserve">   </w:t>
      </w:r>
      <w:r w:rsidR="00E0156E">
        <w:rPr>
          <w:rFonts w:ascii="Tahoma" w:hAnsi="Tahoma" w:cs="Tahoma"/>
          <w:b/>
          <w:bCs/>
          <w:noProof/>
          <w:color w:val="32598A"/>
          <w:sz w:val="28"/>
          <w:szCs w:val="28"/>
        </w:rPr>
        <w:t xml:space="preserve"> </w:t>
      </w:r>
    </w:p>
    <w:p w14:paraId="0EF06F1D" w14:textId="612E5C01" w:rsidR="0073698D" w:rsidRPr="00230F7A"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230F7A">
        <w:rPr>
          <w:rFonts w:ascii="Tahoma" w:hAnsi="Tahoma" w:cs="Tahoma"/>
          <w:b/>
          <w:bCs/>
          <w:noProof/>
          <w:color w:val="32598A"/>
          <w:sz w:val="28"/>
          <w:szCs w:val="28"/>
        </w:rPr>
        <w:t xml:space="preserve"> </w:t>
      </w:r>
      <w:r w:rsidR="00230F7A" w:rsidRPr="00230F7A">
        <w:rPr>
          <w:rFonts w:ascii="Tahoma" w:hAnsi="Tahoma" w:cs="Tahoma"/>
          <w:noProof/>
          <w:sz w:val="24"/>
          <w:szCs w:val="24"/>
          <w:vertAlign w:val="superscript"/>
        </w:rPr>
        <w:t>1</w:t>
      </w:r>
      <w:r w:rsidR="00230F7A" w:rsidRPr="00230F7A">
        <w:rPr>
          <w:rFonts w:ascii="Tahoma" w:hAnsi="Tahoma" w:cs="Tahoma"/>
          <w:noProof/>
          <w:sz w:val="24"/>
          <w:szCs w:val="24"/>
        </w:rPr>
        <w:t>School of Medicine, Cardiff University</w:t>
      </w:r>
      <w:r w:rsidR="00230F7A">
        <w:rPr>
          <w:rFonts w:ascii="Tahoma" w:hAnsi="Tahoma" w:cs="Tahoma"/>
          <w:noProof/>
          <w:sz w:val="24"/>
          <w:szCs w:val="24"/>
        </w:rPr>
        <w:t xml:space="preserve">. </w:t>
      </w:r>
      <w:r w:rsidR="00230F7A">
        <w:rPr>
          <w:rFonts w:ascii="Tahoma" w:hAnsi="Tahoma" w:cs="Tahoma"/>
          <w:noProof/>
          <w:sz w:val="24"/>
          <w:szCs w:val="24"/>
          <w:vertAlign w:val="superscript"/>
        </w:rPr>
        <w:t>2</w:t>
      </w:r>
      <w:r w:rsidR="00230F7A">
        <w:rPr>
          <w:rFonts w:ascii="Tahoma" w:hAnsi="Tahoma" w:cs="Tahoma"/>
          <w:noProof/>
          <w:sz w:val="24"/>
          <w:szCs w:val="24"/>
        </w:rPr>
        <w:t>Child Health, Cwm Taf Morgannwg University Health Board.</w:t>
      </w:r>
      <w:r w:rsidR="00230F7A" w:rsidRPr="00230F7A">
        <w:rPr>
          <w:rFonts w:ascii="Tahoma" w:hAnsi="Tahoma" w:cs="Tahoma"/>
          <w:noProof/>
          <w:sz w:val="24"/>
          <w:szCs w:val="24"/>
        </w:rPr>
        <w:t xml:space="preserve"> </w:t>
      </w:r>
    </w:p>
    <w:p w14:paraId="5C2DF48A" w14:textId="77777777" w:rsidR="001D73FB" w:rsidRPr="00101A21" w:rsidRDefault="001D73FB" w:rsidP="001D73FB">
      <w:pPr>
        <w:shd w:val="clear" w:color="auto" w:fill="32598A"/>
        <w:rPr>
          <w:color w:val="0066CC"/>
        </w:rPr>
      </w:pPr>
    </w:p>
    <w:p w14:paraId="538FA88B" w14:textId="4C4BB7A5" w:rsidR="00400A84" w:rsidRDefault="001D73FB" w:rsidP="00230F7A">
      <w:pPr>
        <w:spacing w:after="0" w:line="240" w:lineRule="auto"/>
        <w:jc w:val="both"/>
        <w:rPr>
          <w:rFonts w:ascii="Tahoma" w:hAnsi="Tahoma" w:cs="Tahoma"/>
          <w:b/>
          <w:bCs/>
          <w:sz w:val="24"/>
          <w:szCs w:val="24"/>
        </w:rPr>
      </w:pPr>
      <w:r>
        <w:rPr>
          <w:rFonts w:ascii="Tahoma" w:hAnsi="Tahoma" w:cs="Tahoma"/>
          <w:b/>
          <w:bCs/>
          <w:sz w:val="24"/>
          <w:szCs w:val="24"/>
        </w:rPr>
        <w:t>Introduction:</w:t>
      </w:r>
    </w:p>
    <w:p w14:paraId="0FD107D1" w14:textId="61258C5B" w:rsidR="00230F7A" w:rsidRDefault="00230F7A" w:rsidP="00230F7A">
      <w:pPr>
        <w:spacing w:line="240" w:lineRule="auto"/>
        <w:jc w:val="both"/>
        <w:rPr>
          <w:rFonts w:ascii="Tahoma" w:hAnsi="Tahoma" w:cs="Tahoma"/>
          <w:b/>
          <w:bCs/>
          <w:sz w:val="24"/>
          <w:szCs w:val="24"/>
        </w:rPr>
      </w:pPr>
      <w:r>
        <w:rPr>
          <w:rFonts w:ascii="Tahoma" w:hAnsi="Tahoma" w:cs="Tahoma"/>
          <w:sz w:val="24"/>
          <w:szCs w:val="24"/>
        </w:rPr>
        <w:t>Safety culture greatly influence the quality and safety of patient care. Evaluation of patient safety culture is the first step to optimise behaviours and processes, improving healthcare quality, and reducing risks</w:t>
      </w:r>
    </w:p>
    <w:p w14:paraId="7348F163" w14:textId="0F8E15BC" w:rsidR="001D73FB" w:rsidRDefault="001D73FB" w:rsidP="00230F7A">
      <w:pPr>
        <w:spacing w:after="0" w:line="240" w:lineRule="auto"/>
        <w:jc w:val="both"/>
        <w:rPr>
          <w:rFonts w:ascii="Tahoma" w:hAnsi="Tahoma" w:cs="Tahoma"/>
          <w:b/>
          <w:bCs/>
          <w:sz w:val="24"/>
          <w:szCs w:val="24"/>
        </w:rPr>
      </w:pPr>
      <w:r>
        <w:rPr>
          <w:rFonts w:ascii="Tahoma" w:hAnsi="Tahoma" w:cs="Tahoma"/>
          <w:b/>
          <w:bCs/>
          <w:sz w:val="24"/>
          <w:szCs w:val="24"/>
        </w:rPr>
        <w:t>Aim:</w:t>
      </w:r>
    </w:p>
    <w:p w14:paraId="58E4954D" w14:textId="0A1E4707" w:rsidR="00230F7A" w:rsidRDefault="00230F7A" w:rsidP="00230F7A">
      <w:pPr>
        <w:spacing w:after="0" w:line="240" w:lineRule="auto"/>
        <w:jc w:val="both"/>
        <w:rPr>
          <w:rFonts w:ascii="Tahoma" w:hAnsi="Tahoma" w:cs="Tahoma"/>
          <w:sz w:val="24"/>
          <w:szCs w:val="24"/>
        </w:rPr>
      </w:pPr>
      <w:r>
        <w:rPr>
          <w:rFonts w:ascii="Tahoma" w:hAnsi="Tahoma" w:cs="Tahoma"/>
          <w:sz w:val="24"/>
          <w:szCs w:val="24"/>
        </w:rPr>
        <w:t>T</w:t>
      </w:r>
      <w:r w:rsidRPr="00552C7D">
        <w:rPr>
          <w:rFonts w:ascii="Tahoma" w:hAnsi="Tahoma" w:cs="Tahoma"/>
          <w:sz w:val="24"/>
          <w:szCs w:val="24"/>
        </w:rPr>
        <w:t xml:space="preserve">o </w:t>
      </w:r>
      <w:r>
        <w:rPr>
          <w:rFonts w:ascii="Tahoma" w:hAnsi="Tahoma" w:cs="Tahoma"/>
          <w:sz w:val="24"/>
          <w:szCs w:val="24"/>
        </w:rPr>
        <w:t>conduct a baseline assessment of patient safety culture in hospital based paediatric service, to identify strengths and weaknesses, and to use the information to plan for improvement.</w:t>
      </w:r>
    </w:p>
    <w:p w14:paraId="46979D73" w14:textId="77777777" w:rsidR="00230F7A" w:rsidRDefault="00230F7A" w:rsidP="00230F7A">
      <w:pPr>
        <w:spacing w:after="0" w:line="240" w:lineRule="auto"/>
        <w:jc w:val="both"/>
        <w:rPr>
          <w:rFonts w:ascii="Tahoma" w:hAnsi="Tahoma" w:cs="Tahoma"/>
          <w:b/>
          <w:bCs/>
          <w:sz w:val="24"/>
          <w:szCs w:val="24"/>
        </w:rPr>
      </w:pPr>
    </w:p>
    <w:p w14:paraId="4F0C03D1" w14:textId="104C5553" w:rsidR="001D73FB" w:rsidRDefault="001D73FB" w:rsidP="00230F7A">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09AA25AA" w:rsidR="00312351" w:rsidRDefault="00230F7A" w:rsidP="00230F7A">
      <w:pPr>
        <w:spacing w:after="0" w:line="240" w:lineRule="auto"/>
        <w:jc w:val="both"/>
        <w:rPr>
          <w:rFonts w:ascii="Tahoma" w:eastAsia="Calibri" w:hAnsi="Tahoma" w:cs="Tahoma"/>
          <w:sz w:val="24"/>
          <w:szCs w:val="24"/>
        </w:rPr>
      </w:pPr>
      <w:r w:rsidRPr="005204AE">
        <w:rPr>
          <w:rFonts w:ascii="Tahoma" w:eastAsia="Calibri" w:hAnsi="Tahoma" w:cs="Tahoma"/>
          <w:sz w:val="24"/>
          <w:szCs w:val="24"/>
        </w:rPr>
        <w:t xml:space="preserve">All professionals working in </w:t>
      </w:r>
      <w:r>
        <w:rPr>
          <w:rFonts w:ascii="Tahoma" w:eastAsia="Calibri" w:hAnsi="Tahoma" w:cs="Tahoma"/>
          <w:sz w:val="24"/>
          <w:szCs w:val="24"/>
        </w:rPr>
        <w:t xml:space="preserve">General </w:t>
      </w:r>
      <w:r w:rsidRPr="005204AE">
        <w:rPr>
          <w:rFonts w:ascii="Tahoma" w:eastAsia="Calibri" w:hAnsi="Tahoma" w:cs="Tahoma"/>
          <w:sz w:val="24"/>
          <w:szCs w:val="24"/>
        </w:rPr>
        <w:t>Paediatric</w:t>
      </w:r>
      <w:r>
        <w:rPr>
          <w:rFonts w:ascii="Tahoma" w:eastAsia="Calibri" w:hAnsi="Tahoma" w:cs="Tahoma"/>
          <w:sz w:val="24"/>
          <w:szCs w:val="24"/>
        </w:rPr>
        <w:t>s</w:t>
      </w:r>
      <w:r w:rsidRPr="005204AE">
        <w:rPr>
          <w:rFonts w:ascii="Tahoma" w:eastAsia="Calibri" w:hAnsi="Tahoma" w:cs="Tahoma"/>
          <w:sz w:val="24"/>
          <w:szCs w:val="24"/>
        </w:rPr>
        <w:t xml:space="preserve"> at </w:t>
      </w:r>
      <w:r>
        <w:rPr>
          <w:rFonts w:ascii="Tahoma" w:eastAsia="Calibri" w:hAnsi="Tahoma" w:cs="Tahoma"/>
          <w:sz w:val="24"/>
          <w:szCs w:val="24"/>
        </w:rPr>
        <w:t xml:space="preserve">two Welsh hospitals </w:t>
      </w:r>
      <w:r w:rsidRPr="005204AE">
        <w:rPr>
          <w:rFonts w:ascii="Tahoma" w:eastAsia="Calibri" w:hAnsi="Tahoma" w:cs="Tahoma"/>
          <w:sz w:val="24"/>
          <w:szCs w:val="24"/>
        </w:rPr>
        <w:t>were invited to participate in a web-based survey on patient safety culture (SOPS®) version 2.0. The s</w:t>
      </w:r>
      <w:r>
        <w:rPr>
          <w:rFonts w:ascii="Tahoma" w:eastAsia="Calibri" w:hAnsi="Tahoma" w:cs="Tahoma"/>
          <w:sz w:val="24"/>
          <w:szCs w:val="24"/>
        </w:rPr>
        <w:t>urvey</w:t>
      </w:r>
      <w:r w:rsidRPr="005204AE">
        <w:rPr>
          <w:rFonts w:ascii="Tahoma" w:eastAsia="Calibri" w:hAnsi="Tahoma" w:cs="Tahoma"/>
          <w:sz w:val="24"/>
          <w:szCs w:val="24"/>
        </w:rPr>
        <w:t xml:space="preserve"> period was from 24th May to 14th June 2024</w:t>
      </w:r>
      <w:r>
        <w:rPr>
          <w:rFonts w:ascii="Tahoma" w:eastAsia="Calibri" w:hAnsi="Tahoma" w:cs="Tahoma"/>
          <w:sz w:val="24"/>
          <w:szCs w:val="24"/>
        </w:rPr>
        <w:t>. Positive response score to 10 patient safety culture composite measures and 2 outcomes (overall patient safety rating and the number of safety events reported in the past year) were analysed. Composite measures with positive score of 75% or more were reported as strengths, measures with 50-75% as potential for improvement, and those with less than 50% as weakness.</w:t>
      </w:r>
    </w:p>
    <w:p w14:paraId="5F73AB0B" w14:textId="77777777" w:rsidR="00230F7A" w:rsidRPr="00312351" w:rsidRDefault="00230F7A" w:rsidP="00230F7A">
      <w:pPr>
        <w:spacing w:after="0" w:line="240" w:lineRule="auto"/>
        <w:jc w:val="both"/>
        <w:rPr>
          <w:rFonts w:ascii="Tahoma" w:hAnsi="Tahoma" w:cs="Tahoma"/>
          <w:sz w:val="24"/>
          <w:szCs w:val="24"/>
        </w:rPr>
      </w:pPr>
    </w:p>
    <w:p w14:paraId="335C0979" w14:textId="7375BF5A" w:rsidR="001D73FB" w:rsidRDefault="001D73FB" w:rsidP="00230F7A">
      <w:pPr>
        <w:spacing w:after="0" w:line="240" w:lineRule="auto"/>
        <w:jc w:val="both"/>
        <w:rPr>
          <w:rFonts w:ascii="Tahoma" w:hAnsi="Tahoma" w:cs="Tahoma"/>
          <w:b/>
          <w:bCs/>
          <w:sz w:val="24"/>
          <w:szCs w:val="24"/>
        </w:rPr>
      </w:pPr>
      <w:r>
        <w:rPr>
          <w:rFonts w:ascii="Tahoma" w:hAnsi="Tahoma" w:cs="Tahoma"/>
          <w:b/>
          <w:bCs/>
          <w:sz w:val="24"/>
          <w:szCs w:val="24"/>
        </w:rPr>
        <w:t>Results:</w:t>
      </w:r>
    </w:p>
    <w:p w14:paraId="073AD14A" w14:textId="16C607FF" w:rsidR="00230F7A" w:rsidRDefault="00230F7A" w:rsidP="00230F7A">
      <w:pPr>
        <w:spacing w:after="0" w:line="240" w:lineRule="auto"/>
        <w:jc w:val="both"/>
        <w:rPr>
          <w:rFonts w:ascii="Tahoma" w:eastAsia="Times New Roman" w:hAnsi="Tahoma" w:cs="Tahoma"/>
          <w:color w:val="000000"/>
          <w:sz w:val="24"/>
          <w:szCs w:val="24"/>
          <w:lang w:eastAsia="en-GB"/>
        </w:rPr>
      </w:pPr>
      <w:r>
        <w:rPr>
          <w:rFonts w:ascii="Tahoma" w:eastAsia="Times New Roman" w:hAnsi="Tahoma" w:cs="Tahoma"/>
          <w:color w:val="000000"/>
          <w:sz w:val="24"/>
          <w:szCs w:val="24"/>
          <w:lang w:eastAsia="en-GB"/>
        </w:rPr>
        <w:t>43</w:t>
      </w:r>
      <w:r w:rsidRPr="004E2F81">
        <w:rPr>
          <w:rFonts w:ascii="Tahoma" w:eastAsia="Times New Roman" w:hAnsi="Tahoma" w:cs="Tahoma"/>
          <w:color w:val="000000"/>
          <w:sz w:val="24"/>
          <w:szCs w:val="24"/>
          <w:lang w:eastAsia="en-GB"/>
        </w:rPr>
        <w:t xml:space="preserve"> responses were </w:t>
      </w:r>
      <w:r>
        <w:rPr>
          <w:rFonts w:ascii="Tahoma" w:eastAsia="Times New Roman" w:hAnsi="Tahoma" w:cs="Tahoma"/>
          <w:color w:val="000000"/>
          <w:sz w:val="24"/>
          <w:szCs w:val="24"/>
          <w:lang w:eastAsia="en-GB"/>
        </w:rPr>
        <w:t>received. 40% medical and the rest from nursing staff. 35% of respondents reported no patient safety event in the past year, while 42% reported 1-2 events. Patient safety rating was 81% positive. Patient safety composite measures with the highest positive scores were “Teamwork” (86%), and “Supervisor, manager, or clinical leader support for patient safety” and “Handoffs and information exchange” (75%). The remaining 7 composite measures positivity scores ranged from 50-74%, identifying potential for improvement.</w:t>
      </w:r>
    </w:p>
    <w:p w14:paraId="462D7C01" w14:textId="77777777" w:rsidR="00230F7A" w:rsidRDefault="00230F7A" w:rsidP="00230F7A">
      <w:pPr>
        <w:spacing w:after="0" w:line="240" w:lineRule="auto"/>
        <w:jc w:val="both"/>
        <w:rPr>
          <w:rFonts w:ascii="Tahoma" w:hAnsi="Tahoma" w:cs="Tahoma"/>
          <w:b/>
          <w:bCs/>
          <w:sz w:val="24"/>
          <w:szCs w:val="24"/>
        </w:rPr>
      </w:pPr>
    </w:p>
    <w:p w14:paraId="79D016C6" w14:textId="017CFC53" w:rsidR="001D73FB" w:rsidRDefault="001D73FB" w:rsidP="00230F7A">
      <w:pPr>
        <w:spacing w:after="0" w:line="240" w:lineRule="auto"/>
        <w:jc w:val="both"/>
        <w:rPr>
          <w:rFonts w:ascii="Tahoma" w:hAnsi="Tahoma" w:cs="Tahoma"/>
          <w:b/>
          <w:bCs/>
          <w:sz w:val="24"/>
          <w:szCs w:val="24"/>
        </w:rPr>
      </w:pPr>
      <w:r>
        <w:rPr>
          <w:rFonts w:ascii="Tahoma" w:hAnsi="Tahoma" w:cs="Tahoma"/>
          <w:b/>
          <w:bCs/>
          <w:sz w:val="24"/>
          <w:szCs w:val="24"/>
        </w:rPr>
        <w:t>Conclusion:</w:t>
      </w:r>
    </w:p>
    <w:p w14:paraId="32E8B83F" w14:textId="4FF0EC36" w:rsidR="00230F7A" w:rsidRDefault="00230F7A" w:rsidP="00230F7A">
      <w:pPr>
        <w:spacing w:after="0" w:line="240" w:lineRule="auto"/>
        <w:jc w:val="both"/>
        <w:rPr>
          <w:rFonts w:ascii="Tahoma" w:hAnsi="Tahoma" w:cs="Tahoma"/>
          <w:b/>
          <w:bCs/>
          <w:sz w:val="24"/>
          <w:szCs w:val="24"/>
        </w:rPr>
      </w:pPr>
      <w:r>
        <w:rPr>
          <w:rFonts w:ascii="Tahoma" w:eastAsia="Times New Roman" w:hAnsi="Tahoma" w:cs="Tahoma"/>
          <w:sz w:val="24"/>
          <w:szCs w:val="24"/>
          <w:lang w:eastAsia="en-GB"/>
        </w:rPr>
        <w:t>We have identified several areas of strengths in our patient safety culture and potential areas for improvement. The next step is to use this information to develop an action plan to improve safety culture in our paediatric practice.</w:t>
      </w:r>
    </w:p>
    <w:sectPr w:rsidR="00230F7A"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30F7A"/>
    <w:rsid w:val="002A32DE"/>
    <w:rsid w:val="00312351"/>
    <w:rsid w:val="003378B3"/>
    <w:rsid w:val="00400A84"/>
    <w:rsid w:val="004E1810"/>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11C91497FA2425B952FE1136606E09E"/>
        <w:category>
          <w:name w:val="General"/>
          <w:gallery w:val="placeholder"/>
        </w:category>
        <w:types>
          <w:type w:val="bbPlcHdr"/>
        </w:types>
        <w:behaviors>
          <w:behavior w:val="content"/>
        </w:behaviors>
        <w:guid w:val="{B82C601C-A4B0-4500-A491-16EDAF8A1B89}"/>
      </w:docPartPr>
      <w:docPartBody>
        <w:p w:rsidR="001C0D66" w:rsidRDefault="00056BA7" w:rsidP="00056BA7">
          <w:pPr>
            <w:pStyle w:val="A11C91497FA2425B952FE1136606E09E"/>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A7"/>
    <w:rsid w:val="00056BA7"/>
    <w:rsid w:val="001C0D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6BA7"/>
    <w:rPr>
      <w:color w:val="808080"/>
    </w:rPr>
  </w:style>
  <w:style w:type="paragraph" w:customStyle="1" w:styleId="A11C91497FA2425B952FE1136606E09E">
    <w:name w:val="A11C91497FA2425B952FE1136606E09E"/>
    <w:rsid w:val="00056BA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315</Words>
  <Characters>1800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2024-11-12T17:30:00Z</dcterms:created>
  <dcterms:modified xsi:type="dcterms:W3CDTF">2024-11-22T09:43:00Z</dcterms:modified>
</cp:coreProperties>
</file>