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FDC3669"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AE322D">
        <w:rPr>
          <w:rFonts w:ascii="Tahoma" w:hAnsi="Tahoma" w:cs="Tahoma"/>
          <w:b/>
          <w:bCs/>
          <w:noProof/>
          <w:color w:val="32598A"/>
          <w:sz w:val="28"/>
          <w:szCs w:val="28"/>
        </w:rPr>
        <w:t xml:space="preserve"> 47</w:t>
      </w:r>
    </w:p>
    <w:p w14:paraId="2F1F690B" w14:textId="5D2DD39A" w:rsidR="00486C48" w:rsidRDefault="00486C48" w:rsidP="00E0156E">
      <w:pPr>
        <w:spacing w:after="0"/>
        <w:rPr>
          <w:rFonts w:ascii="Tahoma" w:hAnsi="Tahoma" w:cs="Tahoma"/>
          <w:noProof/>
          <w:sz w:val="24"/>
          <w:szCs w:val="24"/>
        </w:rPr>
      </w:pPr>
      <w:r>
        <w:rPr>
          <w:rFonts w:ascii="Tahoma" w:hAnsi="Tahoma" w:cs="Tahoma"/>
          <w:noProof/>
          <w:sz w:val="24"/>
          <w:szCs w:val="24"/>
        </w:rPr>
        <w:t>Introduction of Expiratory Muscle Strength Training (EMST) for Head and Neck Cancer patients with chronic dysphagia/aspiration following oncological treatments.</w:t>
      </w:r>
    </w:p>
    <w:p w14:paraId="421B9B01" w14:textId="77777777" w:rsidR="00486C48" w:rsidRPr="00486C48" w:rsidRDefault="00486C48" w:rsidP="00E0156E">
      <w:pPr>
        <w:spacing w:after="0"/>
        <w:rPr>
          <w:rFonts w:ascii="Tahoma" w:hAnsi="Tahoma" w:cs="Tahoma"/>
          <w:b/>
          <w:bCs/>
          <w:noProof/>
          <w:color w:val="32598A"/>
          <w:sz w:val="16"/>
          <w:szCs w:val="16"/>
        </w:rPr>
      </w:pPr>
    </w:p>
    <w:p w14:paraId="5CFA3287" w14:textId="1BB1497A" w:rsidR="003378B3" w:rsidRPr="00E0156E" w:rsidRDefault="003378B3" w:rsidP="00486C48">
      <w:pPr>
        <w:ind w:right="-360"/>
        <w:rPr>
          <w:rFonts w:ascii="Tahoma" w:hAnsi="Tahoma" w:cs="Tahoma"/>
          <w:noProof/>
          <w:sz w:val="24"/>
          <w:szCs w:val="24"/>
        </w:rPr>
      </w:pPr>
      <w:r w:rsidRPr="0073698D">
        <w:rPr>
          <w:rFonts w:ascii="Tahoma" w:hAnsi="Tahoma" w:cs="Tahoma"/>
          <w:b/>
          <w:bCs/>
          <w:noProof/>
          <w:color w:val="32598A"/>
          <w:sz w:val="28"/>
          <w:szCs w:val="28"/>
        </w:rPr>
        <w:t>Author/s:</w:t>
      </w:r>
      <w:r w:rsidR="00486C48" w:rsidRPr="00486C48">
        <w:rPr>
          <w:rFonts w:ascii="Tahoma" w:hAnsi="Tahoma" w:cs="Tahoma"/>
          <w:noProof/>
          <w:sz w:val="24"/>
          <w:szCs w:val="24"/>
        </w:rPr>
        <w:t xml:space="preserve"> </w:t>
      </w:r>
      <w:r w:rsidR="00486C48">
        <w:rPr>
          <w:rFonts w:ascii="Tahoma" w:hAnsi="Tahoma" w:cs="Tahoma"/>
          <w:noProof/>
          <w:sz w:val="24"/>
          <w:szCs w:val="24"/>
        </w:rPr>
        <w:t>Payne, M,. Davies, K., Jose, L.</w:t>
      </w:r>
    </w:p>
    <w:p w14:paraId="0EF06F1D" w14:textId="61BB32EA"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486C48">
        <w:rPr>
          <w:rFonts w:ascii="Tahoma" w:hAnsi="Tahoma" w:cs="Tahoma"/>
          <w:b/>
          <w:bCs/>
          <w:noProof/>
          <w:color w:val="32598A"/>
          <w:sz w:val="28"/>
          <w:szCs w:val="28"/>
        </w:rPr>
        <w:t xml:space="preserve"> </w:t>
      </w:r>
      <w:r w:rsidR="00486C48" w:rsidRPr="00486C48">
        <w:rPr>
          <w:rFonts w:ascii="Tahoma" w:hAnsi="Tahoma" w:cs="Tahoma"/>
          <w:noProof/>
          <w:sz w:val="24"/>
          <w:szCs w:val="24"/>
        </w:rPr>
        <w:t>Speech &amp; Language Therapy</w:t>
      </w:r>
      <w:r w:rsidR="00486C48">
        <w:rPr>
          <w:rFonts w:ascii="Tahoma" w:hAnsi="Tahoma" w:cs="Tahoma"/>
          <w:noProof/>
          <w:sz w:val="24"/>
          <w:szCs w:val="24"/>
        </w:rPr>
        <w:t>, Cwm Taf University Health Board</w:t>
      </w:r>
      <w:r w:rsidR="00486C48" w:rsidRPr="00486C48">
        <w:rPr>
          <w:rFonts w:ascii="Tahoma" w:hAnsi="Tahoma" w:cs="Tahoma"/>
          <w:b/>
          <w:bCs/>
          <w:noProof/>
          <w:sz w:val="28"/>
          <w:szCs w:val="28"/>
        </w:rPr>
        <w:t xml:space="preserve"> </w:t>
      </w:r>
    </w:p>
    <w:p w14:paraId="5C2DF48A" w14:textId="77777777" w:rsidR="001D73FB" w:rsidRPr="00101A21" w:rsidRDefault="001D73FB" w:rsidP="001D73FB">
      <w:pPr>
        <w:shd w:val="clear" w:color="auto" w:fill="32598A"/>
        <w:rPr>
          <w:color w:val="0066CC"/>
        </w:rPr>
      </w:pPr>
    </w:p>
    <w:p w14:paraId="538FA88B" w14:textId="33C4D113" w:rsidR="00400A84" w:rsidRDefault="001D73FB" w:rsidP="00486C48">
      <w:pPr>
        <w:spacing w:after="0" w:line="240" w:lineRule="auto"/>
        <w:jc w:val="both"/>
        <w:rPr>
          <w:rFonts w:ascii="Tahoma" w:hAnsi="Tahoma" w:cs="Tahoma"/>
          <w:b/>
          <w:bCs/>
          <w:sz w:val="24"/>
          <w:szCs w:val="24"/>
        </w:rPr>
      </w:pPr>
      <w:r>
        <w:rPr>
          <w:rFonts w:ascii="Tahoma" w:hAnsi="Tahoma" w:cs="Tahoma"/>
          <w:b/>
          <w:bCs/>
          <w:sz w:val="24"/>
          <w:szCs w:val="24"/>
        </w:rPr>
        <w:t>Introduction:</w:t>
      </w:r>
    </w:p>
    <w:p w14:paraId="209596D4" w14:textId="511222DD" w:rsidR="00486C48" w:rsidRDefault="00486C48" w:rsidP="00486C48">
      <w:pPr>
        <w:spacing w:line="240" w:lineRule="auto"/>
        <w:jc w:val="both"/>
        <w:rPr>
          <w:rFonts w:ascii="Tahoma" w:hAnsi="Tahoma" w:cs="Tahoma"/>
          <w:b/>
          <w:bCs/>
          <w:sz w:val="24"/>
          <w:szCs w:val="24"/>
        </w:rPr>
      </w:pPr>
      <w:r w:rsidRPr="002D08F4">
        <w:rPr>
          <w:rFonts w:ascii="Tahoma" w:hAnsi="Tahoma" w:cs="Tahoma"/>
          <w:sz w:val="24"/>
          <w:szCs w:val="24"/>
        </w:rPr>
        <w:t>EMST (Expiratory Muscle Strength Training) is a rehabilitation technique using a device to strengthen expiratory muscles, which are critical for breathing out forcefully, coughing, and swallowing. The purpose of EMSTis to improve cough strength, enhance swallowing muscle movement, and facilitate better laryngeal elevation during swallowing, thus reducing the risk of aspiration. Limited evidence exists for EMST in head and neck cancer patients. A study by Hutcheson et al. (2018) suggested EMST as a promising therapeutic approach for improving airway protection in chronic aspirators post-radiation therapy</w:t>
      </w:r>
      <w:r>
        <w:rPr>
          <w:rFonts w:ascii="Tahoma" w:hAnsi="Tahoma" w:cs="Tahoma"/>
          <w:sz w:val="24"/>
          <w:szCs w:val="24"/>
        </w:rPr>
        <w:t>.</w:t>
      </w:r>
    </w:p>
    <w:p w14:paraId="7348F163" w14:textId="04450612" w:rsidR="001D73FB" w:rsidRDefault="001D73FB" w:rsidP="00486C48">
      <w:pPr>
        <w:spacing w:after="0" w:line="240" w:lineRule="auto"/>
        <w:jc w:val="both"/>
        <w:rPr>
          <w:rFonts w:ascii="Tahoma" w:hAnsi="Tahoma" w:cs="Tahoma"/>
          <w:b/>
          <w:bCs/>
          <w:sz w:val="24"/>
          <w:szCs w:val="24"/>
        </w:rPr>
      </w:pPr>
      <w:r>
        <w:rPr>
          <w:rFonts w:ascii="Tahoma" w:hAnsi="Tahoma" w:cs="Tahoma"/>
          <w:b/>
          <w:bCs/>
          <w:sz w:val="24"/>
          <w:szCs w:val="24"/>
        </w:rPr>
        <w:t>Aim:</w:t>
      </w:r>
    </w:p>
    <w:p w14:paraId="6706822E" w14:textId="3FD06814" w:rsidR="00486C48" w:rsidRDefault="00486C48" w:rsidP="00486C48">
      <w:pPr>
        <w:spacing w:after="0" w:line="240" w:lineRule="auto"/>
        <w:jc w:val="both"/>
        <w:rPr>
          <w:rFonts w:ascii="Tahoma" w:hAnsi="Tahoma" w:cs="Tahoma"/>
          <w:noProof/>
          <w:sz w:val="24"/>
          <w:szCs w:val="24"/>
        </w:rPr>
      </w:pPr>
      <w:r w:rsidRPr="002D08F4">
        <w:rPr>
          <w:rFonts w:ascii="Tahoma" w:hAnsi="Tahoma" w:cs="Tahoma"/>
          <w:noProof/>
          <w:sz w:val="24"/>
          <w:szCs w:val="24"/>
        </w:rPr>
        <w:t>To increase the maximal pressure of the expiratory muscles (MEP) of patients presenting with chronic dysphagia and aspiration secondary to latent effects dysphagia post oncological treatment for head and neck cancer</w:t>
      </w:r>
      <w:r>
        <w:rPr>
          <w:rFonts w:ascii="Tahoma" w:hAnsi="Tahoma" w:cs="Tahoma"/>
          <w:noProof/>
          <w:sz w:val="24"/>
          <w:szCs w:val="24"/>
        </w:rPr>
        <w:t>.</w:t>
      </w:r>
    </w:p>
    <w:p w14:paraId="3935A168" w14:textId="77777777" w:rsidR="00486C48" w:rsidRDefault="00486C48" w:rsidP="00486C48">
      <w:pPr>
        <w:spacing w:after="0" w:line="240" w:lineRule="auto"/>
        <w:jc w:val="both"/>
        <w:rPr>
          <w:rFonts w:ascii="Tahoma" w:hAnsi="Tahoma" w:cs="Tahoma"/>
          <w:b/>
          <w:bCs/>
          <w:sz w:val="24"/>
          <w:szCs w:val="24"/>
        </w:rPr>
      </w:pPr>
    </w:p>
    <w:p w14:paraId="4F0C03D1" w14:textId="597DD9F6" w:rsidR="001D73FB" w:rsidRDefault="001D73FB" w:rsidP="00486C48">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E71F000" w14:textId="7A2F21EC" w:rsidR="00486C48" w:rsidRPr="002D08F4" w:rsidRDefault="00486C48" w:rsidP="00486C48">
      <w:pPr>
        <w:spacing w:line="240" w:lineRule="auto"/>
        <w:jc w:val="both"/>
        <w:rPr>
          <w:rFonts w:ascii="Tahoma" w:hAnsi="Tahoma" w:cs="Tahoma"/>
          <w:noProof/>
          <w:sz w:val="24"/>
          <w:szCs w:val="24"/>
        </w:rPr>
      </w:pPr>
      <w:r w:rsidRPr="002D08F4">
        <w:rPr>
          <w:rFonts w:ascii="Tahoma" w:hAnsi="Tahoma" w:cs="Tahoma"/>
          <w:noProof/>
          <w:sz w:val="24"/>
          <w:szCs w:val="24"/>
        </w:rPr>
        <w:t>Maximum expiratory pressures (MEPs) were examined among n = 4 radiation-associated aspirators (penetration-aspiration scale score ≥ 6 on videofluoroscopy)</w:t>
      </w:r>
    </w:p>
    <w:p w14:paraId="041110BD" w14:textId="77777777" w:rsidR="00486C48" w:rsidRDefault="00486C48" w:rsidP="00486C48">
      <w:pPr>
        <w:spacing w:line="240" w:lineRule="auto"/>
        <w:jc w:val="both"/>
        <w:rPr>
          <w:rFonts w:ascii="Tahoma" w:hAnsi="Tahoma" w:cs="Tahoma"/>
          <w:noProof/>
          <w:sz w:val="24"/>
          <w:szCs w:val="24"/>
        </w:rPr>
      </w:pPr>
      <w:r w:rsidRPr="002D08F4">
        <w:rPr>
          <w:rFonts w:ascii="Tahoma" w:hAnsi="Tahoma" w:cs="Tahoma"/>
          <w:noProof/>
          <w:sz w:val="24"/>
          <w:szCs w:val="24"/>
        </w:rPr>
        <w:t>Pre and post EMST outcomes were examined in n =4 who enrolled in 6 weeks of EMST (25 repetitions, 5 days/week, 75% load) to determine effects of EMST on the primary endpoint MEP’s</w:t>
      </w:r>
    </w:p>
    <w:p w14:paraId="4C1FA1A3" w14:textId="1DBBC2E2" w:rsidR="00486C48" w:rsidRDefault="00486C48" w:rsidP="00486C48">
      <w:pPr>
        <w:spacing w:after="0" w:line="240" w:lineRule="auto"/>
        <w:jc w:val="both"/>
        <w:rPr>
          <w:rFonts w:ascii="Tahoma" w:hAnsi="Tahoma" w:cs="Tahoma"/>
          <w:b/>
          <w:bCs/>
          <w:sz w:val="24"/>
          <w:szCs w:val="24"/>
        </w:rPr>
      </w:pPr>
      <w:r w:rsidRPr="002D08F4">
        <w:rPr>
          <w:rFonts w:ascii="Tahoma" w:hAnsi="Tahoma" w:cs="Tahoma"/>
          <w:noProof/>
          <w:sz w:val="24"/>
          <w:szCs w:val="24"/>
        </w:rPr>
        <w:t>Secondary measures included pre and post measures including; perceived dysphagia (M.D. Anderson Dysphagia Inventory [MDADI]), normalcy of diet (Performance status scale for head and neck cancer patients [PSSHN]) and wellbeing (Therapy Outcome Measures TOMS) .</w:t>
      </w:r>
    </w:p>
    <w:p w14:paraId="41CCDAF5" w14:textId="77777777" w:rsidR="00312351" w:rsidRPr="00312351" w:rsidRDefault="00312351" w:rsidP="00486C48">
      <w:pPr>
        <w:spacing w:after="0" w:line="240" w:lineRule="auto"/>
        <w:jc w:val="both"/>
        <w:rPr>
          <w:rFonts w:ascii="Tahoma" w:hAnsi="Tahoma" w:cs="Tahoma"/>
          <w:sz w:val="24"/>
          <w:szCs w:val="24"/>
        </w:rPr>
      </w:pPr>
    </w:p>
    <w:p w14:paraId="335C0979" w14:textId="47E079FA" w:rsidR="001D73FB" w:rsidRDefault="001D73FB" w:rsidP="00486C48">
      <w:pPr>
        <w:spacing w:after="0" w:line="240" w:lineRule="auto"/>
        <w:jc w:val="both"/>
        <w:rPr>
          <w:rFonts w:ascii="Tahoma" w:hAnsi="Tahoma" w:cs="Tahoma"/>
          <w:b/>
          <w:bCs/>
          <w:sz w:val="24"/>
          <w:szCs w:val="24"/>
        </w:rPr>
      </w:pPr>
      <w:r>
        <w:rPr>
          <w:rFonts w:ascii="Tahoma" w:hAnsi="Tahoma" w:cs="Tahoma"/>
          <w:b/>
          <w:bCs/>
          <w:sz w:val="24"/>
          <w:szCs w:val="24"/>
        </w:rPr>
        <w:t>Results:</w:t>
      </w:r>
    </w:p>
    <w:p w14:paraId="0240C11F" w14:textId="3835BAD4" w:rsidR="00486C48" w:rsidRPr="002D08F4" w:rsidRDefault="00486C48" w:rsidP="00486C48">
      <w:pPr>
        <w:spacing w:line="240" w:lineRule="auto"/>
        <w:jc w:val="both"/>
        <w:rPr>
          <w:rFonts w:ascii="Tahoma" w:hAnsi="Tahoma" w:cs="Tahoma"/>
          <w:noProof/>
          <w:sz w:val="24"/>
          <w:szCs w:val="24"/>
        </w:rPr>
      </w:pPr>
      <w:r w:rsidRPr="002D08F4">
        <w:rPr>
          <w:rFonts w:ascii="Tahoma" w:hAnsi="Tahoma" w:cs="Tahoma"/>
          <w:noProof/>
          <w:sz w:val="24"/>
          <w:szCs w:val="24"/>
        </w:rPr>
        <w:t>N =2  fully adhered to the programme and n = 2 partially adhered.</w:t>
      </w:r>
    </w:p>
    <w:p w14:paraId="171F76B9" w14:textId="004D2E9C" w:rsidR="00486C48" w:rsidRPr="002D08F4" w:rsidRDefault="00486C48" w:rsidP="00486C48">
      <w:pPr>
        <w:spacing w:line="240" w:lineRule="auto"/>
        <w:jc w:val="both"/>
        <w:rPr>
          <w:rFonts w:ascii="Tahoma" w:hAnsi="Tahoma" w:cs="Tahoma"/>
          <w:noProof/>
          <w:sz w:val="24"/>
          <w:szCs w:val="24"/>
        </w:rPr>
      </w:pPr>
      <w:r w:rsidRPr="002D08F4">
        <w:rPr>
          <w:rFonts w:ascii="Tahoma" w:hAnsi="Tahoma" w:cs="Tahoma"/>
          <w:noProof/>
          <w:sz w:val="24"/>
          <w:szCs w:val="24"/>
        </w:rPr>
        <w:t>Primary outcomes:  N = 2 (fully adhered) showed significant improvement in their MEP score whilst N=2 (partially adhered) saw their scores remain the same.</w:t>
      </w:r>
    </w:p>
    <w:p w14:paraId="2D1A5BE9" w14:textId="77777777" w:rsidR="00486C48" w:rsidRPr="002D08F4" w:rsidRDefault="00486C48" w:rsidP="00486C48">
      <w:pPr>
        <w:spacing w:line="240" w:lineRule="auto"/>
        <w:jc w:val="both"/>
        <w:rPr>
          <w:rFonts w:ascii="Tahoma" w:hAnsi="Tahoma" w:cs="Tahoma"/>
          <w:noProof/>
          <w:sz w:val="24"/>
          <w:szCs w:val="24"/>
        </w:rPr>
      </w:pPr>
      <w:r w:rsidRPr="002D08F4">
        <w:rPr>
          <w:rFonts w:ascii="Tahoma" w:hAnsi="Tahoma" w:cs="Tahoma"/>
          <w:noProof/>
          <w:sz w:val="24"/>
          <w:szCs w:val="24"/>
        </w:rPr>
        <w:t xml:space="preserve">Secondary outcomes:  Self report tools such as the MDADI showed statistically significant changes in N = 1 with no significant changes in the other measures use (PSSHN) and (TOMS). </w:t>
      </w:r>
    </w:p>
    <w:p w14:paraId="09B44D15" w14:textId="3A4B2DF4" w:rsidR="00486C48" w:rsidRDefault="00486C48" w:rsidP="00486C48">
      <w:pPr>
        <w:spacing w:after="0" w:line="240" w:lineRule="auto"/>
        <w:jc w:val="both"/>
        <w:rPr>
          <w:rFonts w:ascii="Tahoma" w:hAnsi="Tahoma" w:cs="Tahoma"/>
          <w:noProof/>
          <w:sz w:val="24"/>
          <w:szCs w:val="24"/>
        </w:rPr>
      </w:pPr>
      <w:r w:rsidRPr="002D08F4">
        <w:rPr>
          <w:rFonts w:ascii="Tahoma" w:hAnsi="Tahoma" w:cs="Tahoma"/>
          <w:noProof/>
          <w:sz w:val="24"/>
          <w:szCs w:val="24"/>
        </w:rPr>
        <w:t>However N = 4 reported positive changes in their functional ability and overall quality of life when asked for qualitative feedback even though the wellbeing score did not reflect this e.g. “if food is lodged I’m able to cough it up better” and another describing an ability to cough for ‘longer’ to help clear any food or drink which may have gone ‘the wrong way’</w:t>
      </w:r>
      <w:r w:rsidR="002E2641">
        <w:rPr>
          <w:rFonts w:ascii="Tahoma" w:hAnsi="Tahoma" w:cs="Tahoma"/>
          <w:noProof/>
          <w:sz w:val="24"/>
          <w:szCs w:val="24"/>
        </w:rPr>
        <w:t>.</w:t>
      </w:r>
    </w:p>
    <w:p w14:paraId="4B69F02E" w14:textId="77777777" w:rsidR="00486C48" w:rsidRPr="00486C48" w:rsidRDefault="00486C48" w:rsidP="00486C48">
      <w:pPr>
        <w:spacing w:after="0" w:line="240" w:lineRule="auto"/>
        <w:jc w:val="both"/>
        <w:rPr>
          <w:rFonts w:ascii="Tahoma" w:hAnsi="Tahoma" w:cs="Tahoma"/>
          <w:b/>
          <w:bCs/>
          <w:sz w:val="16"/>
          <w:szCs w:val="16"/>
        </w:rPr>
      </w:pPr>
    </w:p>
    <w:p w14:paraId="79D016C6" w14:textId="3A2FF897" w:rsidR="001D73FB" w:rsidRDefault="001D73FB" w:rsidP="00486C48">
      <w:pPr>
        <w:spacing w:after="0" w:line="240" w:lineRule="auto"/>
        <w:jc w:val="both"/>
        <w:rPr>
          <w:rFonts w:ascii="Tahoma" w:hAnsi="Tahoma" w:cs="Tahoma"/>
          <w:b/>
          <w:bCs/>
          <w:sz w:val="24"/>
          <w:szCs w:val="24"/>
        </w:rPr>
      </w:pPr>
      <w:r>
        <w:rPr>
          <w:rFonts w:ascii="Tahoma" w:hAnsi="Tahoma" w:cs="Tahoma"/>
          <w:b/>
          <w:bCs/>
          <w:sz w:val="24"/>
          <w:szCs w:val="24"/>
        </w:rPr>
        <w:lastRenderedPageBreak/>
        <w:t>Conclusion:</w:t>
      </w:r>
    </w:p>
    <w:p w14:paraId="2168ED73" w14:textId="47E30D01" w:rsidR="00486C48" w:rsidRPr="002D08F4" w:rsidRDefault="00486C48" w:rsidP="00486C48">
      <w:pPr>
        <w:spacing w:line="240" w:lineRule="auto"/>
        <w:jc w:val="both"/>
        <w:rPr>
          <w:rFonts w:ascii="Tahoma" w:hAnsi="Tahoma" w:cs="Tahoma"/>
          <w:noProof/>
          <w:sz w:val="24"/>
          <w:szCs w:val="24"/>
        </w:rPr>
      </w:pPr>
      <w:r w:rsidRPr="002D08F4">
        <w:rPr>
          <w:rFonts w:ascii="Tahoma" w:hAnsi="Tahoma" w:cs="Tahoma"/>
          <w:noProof/>
          <w:sz w:val="24"/>
          <w:szCs w:val="24"/>
        </w:rPr>
        <w:t>EMST improved the MEP in a small group of head and neck cancer patients presenting with late effects dysphagia post radiation treatment who were fully compliant with the rehabilitation programme N =2.</w:t>
      </w:r>
    </w:p>
    <w:p w14:paraId="70D33D58" w14:textId="6C76CC75" w:rsidR="00486C48" w:rsidRPr="002D08F4" w:rsidRDefault="00486C48" w:rsidP="00486C48">
      <w:pPr>
        <w:spacing w:line="240" w:lineRule="auto"/>
        <w:jc w:val="both"/>
        <w:rPr>
          <w:rFonts w:ascii="Tahoma" w:hAnsi="Tahoma" w:cs="Tahoma"/>
          <w:noProof/>
          <w:sz w:val="24"/>
          <w:szCs w:val="24"/>
        </w:rPr>
      </w:pPr>
      <w:r w:rsidRPr="002D08F4">
        <w:rPr>
          <w:rFonts w:ascii="Tahoma" w:hAnsi="Tahoma" w:cs="Tahoma"/>
          <w:noProof/>
          <w:sz w:val="24"/>
          <w:szCs w:val="24"/>
        </w:rPr>
        <w:t>Those who were fully compliant N=2 also saw a reduction in the impact of their dysphagia as rated by the MDADI. However all those who took part N=4 reported improvement in functional ability and quality of life with real life examples.</w:t>
      </w:r>
    </w:p>
    <w:p w14:paraId="62D187C8" w14:textId="248E9054" w:rsidR="00486C48" w:rsidRPr="0078008F" w:rsidRDefault="00486C48" w:rsidP="00486C48">
      <w:pPr>
        <w:spacing w:line="240" w:lineRule="auto"/>
        <w:jc w:val="both"/>
        <w:rPr>
          <w:rFonts w:ascii="Tahoma" w:hAnsi="Tahoma" w:cs="Tahoma"/>
          <w:noProof/>
          <w:sz w:val="24"/>
          <w:szCs w:val="24"/>
        </w:rPr>
      </w:pPr>
      <w:r w:rsidRPr="002D08F4">
        <w:rPr>
          <w:rFonts w:ascii="Tahoma" w:hAnsi="Tahoma" w:cs="Tahoma"/>
          <w:noProof/>
          <w:sz w:val="24"/>
          <w:szCs w:val="24"/>
        </w:rPr>
        <w:t xml:space="preserve"> N=4 decided to continue using the device, focusing on improving their MEP before moving on to a maintenance program</w:t>
      </w:r>
    </w:p>
    <w:p w14:paraId="5901B507" w14:textId="0C43A8AE" w:rsidR="00486C48" w:rsidRDefault="00486C48" w:rsidP="00486C48">
      <w:pPr>
        <w:spacing w:line="240" w:lineRule="auto"/>
        <w:jc w:val="both"/>
        <w:rPr>
          <w:rFonts w:ascii="Tahoma" w:hAnsi="Tahoma" w:cs="Tahoma"/>
          <w:noProof/>
          <w:sz w:val="24"/>
          <w:szCs w:val="24"/>
        </w:rPr>
      </w:pPr>
      <w:r w:rsidRPr="0078008F">
        <w:rPr>
          <w:rFonts w:ascii="Tahoma" w:hAnsi="Tahoma" w:cs="Tahoma"/>
          <w:noProof/>
          <w:sz w:val="24"/>
          <w:szCs w:val="24"/>
        </w:rPr>
        <w:t xml:space="preserve">Those who were not fully compliant N = 2 reported feeling unwell (unrelated) and difficulty integrating the exercise into a busy lifestyle as reasons for reduced </w:t>
      </w:r>
      <w:r>
        <w:rPr>
          <w:rFonts w:ascii="Tahoma" w:hAnsi="Tahoma" w:cs="Tahoma"/>
          <w:noProof/>
          <w:sz w:val="24"/>
          <w:szCs w:val="24"/>
        </w:rPr>
        <w:t xml:space="preserve">compliance. </w:t>
      </w:r>
    </w:p>
    <w:p w14:paraId="318AA5E2" w14:textId="77777777" w:rsidR="00486C48" w:rsidRDefault="00486C48" w:rsidP="00486C48">
      <w:pPr>
        <w:spacing w:line="240" w:lineRule="auto"/>
        <w:jc w:val="both"/>
        <w:rPr>
          <w:rFonts w:ascii="Tahoma" w:hAnsi="Tahoma" w:cs="Tahoma"/>
          <w:noProof/>
          <w:sz w:val="24"/>
          <w:szCs w:val="24"/>
        </w:rPr>
      </w:pPr>
      <w:r>
        <w:rPr>
          <w:rFonts w:ascii="Tahoma" w:hAnsi="Tahoma" w:cs="Tahoma"/>
          <w:noProof/>
          <w:sz w:val="24"/>
          <w:szCs w:val="24"/>
        </w:rPr>
        <w:t>Impact for service provision: Continue to offer ESMST</w:t>
      </w:r>
    </w:p>
    <w:p w14:paraId="5D609790" w14:textId="77777777" w:rsidR="00486C48" w:rsidRDefault="00486C48" w:rsidP="00486C48">
      <w:pPr>
        <w:spacing w:after="0" w:line="240" w:lineRule="auto"/>
        <w:jc w:val="both"/>
        <w:rPr>
          <w:rFonts w:ascii="Tahoma" w:hAnsi="Tahoma" w:cs="Tahoma"/>
          <w:b/>
          <w:bCs/>
          <w:sz w:val="24"/>
          <w:szCs w:val="24"/>
        </w:rPr>
      </w:pPr>
    </w:p>
    <w:sectPr w:rsidR="00486C48"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E2641"/>
    <w:rsid w:val="00312351"/>
    <w:rsid w:val="003378B3"/>
    <w:rsid w:val="00400A84"/>
    <w:rsid w:val="00486C48"/>
    <w:rsid w:val="0073698D"/>
    <w:rsid w:val="0084790E"/>
    <w:rsid w:val="00957516"/>
    <w:rsid w:val="00A70F30"/>
    <w:rsid w:val="00AC3303"/>
    <w:rsid w:val="00AE322D"/>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504</Words>
  <Characters>2876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2024-11-11T16:41:00Z</dcterms:created>
  <dcterms:modified xsi:type="dcterms:W3CDTF">2024-11-22T09:42:00Z</dcterms:modified>
</cp:coreProperties>
</file>