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FDA6151" w14:textId="2B400BF8" w:rsidR="00007E48" w:rsidRDefault="003378B3" w:rsidP="00007E48">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A845B2">
        <w:rPr>
          <w:rFonts w:ascii="Tahoma" w:hAnsi="Tahoma" w:cs="Tahoma"/>
          <w:b/>
          <w:bCs/>
          <w:noProof/>
          <w:color w:val="32598A"/>
          <w:sz w:val="28"/>
          <w:szCs w:val="28"/>
        </w:rPr>
        <w:t xml:space="preserve"> 46</w:t>
      </w:r>
    </w:p>
    <w:p w14:paraId="04532E4D" w14:textId="05442AC8" w:rsidR="00007E48" w:rsidRPr="00007E48" w:rsidRDefault="00007E48" w:rsidP="00007E48">
      <w:pPr>
        <w:spacing w:after="0"/>
        <w:rPr>
          <w:rFonts w:ascii="Tahoma" w:hAnsi="Tahoma" w:cs="Tahoma"/>
          <w:noProof/>
          <w:sz w:val="24"/>
          <w:szCs w:val="24"/>
        </w:rPr>
      </w:pPr>
      <w:r w:rsidRPr="00007E48">
        <w:rPr>
          <w:rFonts w:ascii="Tahoma" w:hAnsi="Tahoma" w:cs="Tahoma"/>
          <w:noProof/>
          <w:sz w:val="24"/>
          <w:szCs w:val="24"/>
        </w:rPr>
        <w:t>PREDICT-EV</w:t>
      </w:r>
      <w:r>
        <w:rPr>
          <w:rFonts w:ascii="Tahoma" w:hAnsi="Tahoma" w:cs="Tahoma"/>
          <w:noProof/>
          <w:sz w:val="24"/>
          <w:szCs w:val="24"/>
        </w:rPr>
        <w:t>; Are Endothelial Extracellular Vesicles Increasing Risk of Stroke?</w:t>
      </w:r>
    </w:p>
    <w:p w14:paraId="33D3ABA0" w14:textId="22B79650" w:rsidR="00007E48" w:rsidRPr="00007E48" w:rsidRDefault="00007E48" w:rsidP="00007E48">
      <w:pPr>
        <w:spacing w:after="0"/>
        <w:rPr>
          <w:rFonts w:ascii="Tahoma" w:hAnsi="Tahoma" w:cs="Tahoma"/>
          <w:sz w:val="16"/>
          <w:szCs w:val="16"/>
        </w:rPr>
      </w:pPr>
    </w:p>
    <w:p w14:paraId="54489243" w14:textId="10EC9CED" w:rsidR="00007E48" w:rsidRDefault="003378B3" w:rsidP="00007E48">
      <w:pPr>
        <w:ind w:right="-360"/>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007E48" w:rsidRPr="00007E48">
        <w:rPr>
          <w:rFonts w:ascii="Tahoma" w:hAnsi="Tahoma" w:cs="Tahoma"/>
          <w:noProof/>
          <w:sz w:val="24"/>
          <w:szCs w:val="24"/>
        </w:rPr>
        <w:t>Williams, J</w:t>
      </w:r>
      <w:r w:rsidR="00007E48">
        <w:rPr>
          <w:rFonts w:ascii="Tahoma" w:hAnsi="Tahoma" w:cs="Tahoma"/>
          <w:noProof/>
          <w:sz w:val="24"/>
          <w:szCs w:val="24"/>
          <w:vertAlign w:val="superscript"/>
        </w:rPr>
        <w:t>1</w:t>
      </w:r>
      <w:r w:rsidR="00007E48" w:rsidRPr="00007E48">
        <w:rPr>
          <w:rFonts w:ascii="Tahoma" w:hAnsi="Tahoma" w:cs="Tahoma"/>
          <w:noProof/>
          <w:sz w:val="24"/>
          <w:szCs w:val="24"/>
        </w:rPr>
        <w:t>.,</w:t>
      </w:r>
      <w:r w:rsidR="00007E48">
        <w:rPr>
          <w:rFonts w:ascii="Tahoma" w:hAnsi="Tahoma" w:cs="Tahoma"/>
          <w:noProof/>
          <w:sz w:val="24"/>
          <w:szCs w:val="24"/>
        </w:rPr>
        <w:t xml:space="preserve"> Raven, R.M</w:t>
      </w:r>
      <w:r w:rsidR="00007E48">
        <w:rPr>
          <w:rFonts w:ascii="Tahoma" w:hAnsi="Tahoma" w:cs="Tahoma"/>
          <w:noProof/>
          <w:sz w:val="24"/>
          <w:szCs w:val="24"/>
          <w:vertAlign w:val="superscript"/>
        </w:rPr>
        <w:t>1</w:t>
      </w:r>
      <w:r w:rsidR="00007E48">
        <w:rPr>
          <w:rFonts w:ascii="Tahoma" w:hAnsi="Tahoma" w:cs="Tahoma"/>
          <w:noProof/>
          <w:sz w:val="24"/>
          <w:szCs w:val="24"/>
        </w:rPr>
        <w:t>., Whelan, C</w:t>
      </w:r>
      <w:r w:rsidR="00007E48">
        <w:rPr>
          <w:rFonts w:ascii="Tahoma" w:hAnsi="Tahoma" w:cs="Tahoma"/>
          <w:noProof/>
          <w:sz w:val="24"/>
          <w:szCs w:val="24"/>
          <w:vertAlign w:val="superscript"/>
        </w:rPr>
        <w:t>1</w:t>
      </w:r>
      <w:r w:rsidR="00007E48">
        <w:rPr>
          <w:rFonts w:ascii="Tahoma" w:hAnsi="Tahoma" w:cs="Tahoma"/>
          <w:noProof/>
          <w:sz w:val="24"/>
          <w:szCs w:val="24"/>
        </w:rPr>
        <w:t>., White, J</w:t>
      </w:r>
      <w:r w:rsidR="00007E48">
        <w:rPr>
          <w:rFonts w:ascii="Tahoma" w:hAnsi="Tahoma" w:cs="Tahoma"/>
          <w:noProof/>
          <w:sz w:val="24"/>
          <w:szCs w:val="24"/>
          <w:vertAlign w:val="superscript"/>
        </w:rPr>
        <w:t>2</w:t>
      </w:r>
      <w:r w:rsidR="00007E48">
        <w:rPr>
          <w:rFonts w:ascii="Tahoma" w:hAnsi="Tahoma" w:cs="Tahoma"/>
          <w:noProof/>
          <w:sz w:val="24"/>
          <w:szCs w:val="24"/>
        </w:rPr>
        <w:t>., Geen, J</w:t>
      </w:r>
      <w:r w:rsidR="00007E48">
        <w:rPr>
          <w:rFonts w:ascii="Tahoma" w:hAnsi="Tahoma" w:cs="Tahoma"/>
          <w:noProof/>
          <w:sz w:val="24"/>
          <w:szCs w:val="24"/>
          <w:vertAlign w:val="superscript"/>
        </w:rPr>
        <w:t>3</w:t>
      </w:r>
      <w:r w:rsidR="00007E48">
        <w:rPr>
          <w:rFonts w:ascii="Tahoma" w:hAnsi="Tahoma" w:cs="Tahoma"/>
          <w:noProof/>
          <w:sz w:val="24"/>
          <w:szCs w:val="24"/>
        </w:rPr>
        <w:t>., James, P.E</w:t>
      </w:r>
      <w:r w:rsidR="00007E48">
        <w:rPr>
          <w:rFonts w:ascii="Tahoma" w:hAnsi="Tahoma" w:cs="Tahoma"/>
          <w:noProof/>
          <w:sz w:val="24"/>
          <w:szCs w:val="24"/>
          <w:vertAlign w:val="superscript"/>
        </w:rPr>
        <w:t>1</w:t>
      </w:r>
      <w:r w:rsidR="00007E48">
        <w:rPr>
          <w:rFonts w:ascii="Tahoma" w:hAnsi="Tahoma" w:cs="Tahoma"/>
          <w:noProof/>
          <w:sz w:val="24"/>
          <w:szCs w:val="24"/>
        </w:rPr>
        <w:t xml:space="preserve">.  </w:t>
      </w:r>
    </w:p>
    <w:p w14:paraId="750DC935" w14:textId="2332DC29" w:rsidR="00007E48" w:rsidRPr="006B4F5C"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007E48">
        <w:rPr>
          <w:rFonts w:ascii="Tahoma" w:hAnsi="Tahoma" w:cs="Tahoma"/>
          <w:b/>
          <w:bCs/>
          <w:noProof/>
          <w:color w:val="32598A"/>
          <w:sz w:val="28"/>
          <w:szCs w:val="28"/>
        </w:rPr>
        <w:t xml:space="preserve"> </w:t>
      </w:r>
      <w:r w:rsidR="00007E48" w:rsidRPr="00007E48">
        <w:rPr>
          <w:rFonts w:ascii="Tahoma" w:hAnsi="Tahoma" w:cs="Tahoma"/>
          <w:noProof/>
          <w:sz w:val="24"/>
          <w:szCs w:val="24"/>
          <w:vertAlign w:val="superscript"/>
        </w:rPr>
        <w:t>1</w:t>
      </w:r>
      <w:r w:rsidR="00007E48">
        <w:rPr>
          <w:rFonts w:ascii="Tahoma" w:hAnsi="Tahoma" w:cs="Tahoma"/>
          <w:noProof/>
          <w:sz w:val="24"/>
          <w:szCs w:val="24"/>
        </w:rPr>
        <w:t xml:space="preserve">Centre for Cardiovascular Research Innovation and Development (CURIAD), Cardiff Metropolitation University. </w:t>
      </w:r>
      <w:r w:rsidR="00007E48">
        <w:rPr>
          <w:rFonts w:ascii="Tahoma" w:hAnsi="Tahoma" w:cs="Tahoma"/>
          <w:noProof/>
          <w:sz w:val="24"/>
          <w:szCs w:val="24"/>
          <w:vertAlign w:val="superscript"/>
        </w:rPr>
        <w:t>2</w:t>
      </w:r>
      <w:r w:rsidR="00007E48">
        <w:rPr>
          <w:rFonts w:ascii="Tahoma" w:hAnsi="Tahoma" w:cs="Tahoma"/>
          <w:noProof/>
          <w:sz w:val="24"/>
          <w:szCs w:val="24"/>
        </w:rPr>
        <w:t xml:space="preserve">Stroke Service, Cwm Taf Morgannwg University Health Board. </w:t>
      </w:r>
      <w:r w:rsidR="006B4F5C">
        <w:rPr>
          <w:rFonts w:ascii="Tahoma" w:hAnsi="Tahoma" w:cs="Tahoma"/>
          <w:noProof/>
          <w:sz w:val="24"/>
          <w:szCs w:val="24"/>
          <w:vertAlign w:val="superscript"/>
        </w:rPr>
        <w:t>3</w:t>
      </w:r>
      <w:r w:rsidR="006B4F5C">
        <w:rPr>
          <w:rFonts w:ascii="Tahoma" w:hAnsi="Tahoma" w:cs="Tahoma"/>
          <w:noProof/>
          <w:sz w:val="24"/>
          <w:szCs w:val="24"/>
        </w:rPr>
        <w:t>Clinical Biochemistry Service, Cwm Taf Morganwg University Health Board</w:t>
      </w:r>
    </w:p>
    <w:p w14:paraId="5C2DF48A" w14:textId="77777777" w:rsidR="001D73FB" w:rsidRPr="00101A21" w:rsidRDefault="001D73FB" w:rsidP="001D73FB">
      <w:pPr>
        <w:shd w:val="clear" w:color="auto" w:fill="32598A"/>
        <w:rPr>
          <w:color w:val="0066CC"/>
        </w:rPr>
      </w:pPr>
    </w:p>
    <w:p w14:paraId="538FA88B" w14:textId="601144B3" w:rsidR="00400A84" w:rsidRDefault="001D73FB" w:rsidP="006B4F5C">
      <w:pPr>
        <w:spacing w:after="0" w:line="240" w:lineRule="auto"/>
        <w:jc w:val="both"/>
        <w:rPr>
          <w:rFonts w:ascii="Tahoma" w:hAnsi="Tahoma" w:cs="Tahoma"/>
          <w:b/>
          <w:bCs/>
          <w:sz w:val="24"/>
          <w:szCs w:val="24"/>
        </w:rPr>
      </w:pPr>
      <w:r>
        <w:rPr>
          <w:rFonts w:ascii="Tahoma" w:hAnsi="Tahoma" w:cs="Tahoma"/>
          <w:b/>
          <w:bCs/>
          <w:sz w:val="24"/>
          <w:szCs w:val="24"/>
        </w:rPr>
        <w:t>Introduction:</w:t>
      </w:r>
    </w:p>
    <w:p w14:paraId="11856D4F" w14:textId="2D5C2B08" w:rsidR="006B4F5C" w:rsidRDefault="006B4F5C" w:rsidP="006B4F5C">
      <w:pPr>
        <w:spacing w:line="240" w:lineRule="auto"/>
        <w:jc w:val="both"/>
        <w:rPr>
          <w:rFonts w:ascii="Tahoma" w:hAnsi="Tahoma" w:cs="Tahoma"/>
          <w:b/>
          <w:bCs/>
          <w:sz w:val="24"/>
          <w:szCs w:val="24"/>
        </w:rPr>
      </w:pPr>
      <w:r w:rsidRPr="00B66856">
        <w:rPr>
          <w:rFonts w:ascii="Tahoma" w:hAnsi="Tahoma" w:cs="Tahoma"/>
          <w:kern w:val="2"/>
          <w:sz w:val="24"/>
          <w:szCs w:val="24"/>
          <w14:ligatures w14:val="standardContextual"/>
        </w:rPr>
        <w:t>Stroke is the second leading cause of death worldwide and the fourth in the UK. Transient Ischaemic Attack (TIA) patients are four times more likely to suffer subsequently with a stroke within 12 months. The PREDICT-EV study has been recruiting from Prince Charles Hospital’s TIA referral clinics and those presenting at A&amp;E for the past 2 years and following these patients for stroke risk. We propose Extracellular vesicles (EV) as a potential biomarker of dysregulated blood clotting in TIA patients that are at increased risk of future stroke. EV are microscopic, biologically active particles, produced by all cell types. EV express surface protein indicative of the parent cell and normally convey cell to cell communication and homeostasis, but can contribute to dysregulation of blood clotting under certain conditions</w:t>
      </w:r>
      <w:r>
        <w:rPr>
          <w:rFonts w:ascii="Tahoma" w:hAnsi="Tahoma" w:cs="Tahoma"/>
          <w:kern w:val="2"/>
          <w:sz w:val="24"/>
          <w:szCs w:val="24"/>
          <w14:ligatures w14:val="standardContextual"/>
        </w:rPr>
        <w:t>.</w:t>
      </w:r>
    </w:p>
    <w:p w14:paraId="7348F163" w14:textId="43EB9198" w:rsidR="001D73FB" w:rsidRDefault="001D73FB" w:rsidP="006B4F5C">
      <w:pPr>
        <w:spacing w:after="0" w:line="240" w:lineRule="auto"/>
        <w:jc w:val="both"/>
        <w:rPr>
          <w:rFonts w:ascii="Tahoma" w:hAnsi="Tahoma" w:cs="Tahoma"/>
          <w:b/>
          <w:bCs/>
          <w:sz w:val="24"/>
          <w:szCs w:val="24"/>
        </w:rPr>
      </w:pPr>
      <w:r>
        <w:rPr>
          <w:rFonts w:ascii="Tahoma" w:hAnsi="Tahoma" w:cs="Tahoma"/>
          <w:b/>
          <w:bCs/>
          <w:sz w:val="24"/>
          <w:szCs w:val="24"/>
        </w:rPr>
        <w:t>Aim:</w:t>
      </w:r>
    </w:p>
    <w:p w14:paraId="3F3D5D32" w14:textId="5813027B" w:rsidR="006B4F5C" w:rsidRDefault="006B4F5C" w:rsidP="006B4F5C">
      <w:pPr>
        <w:spacing w:after="0" w:line="240" w:lineRule="auto"/>
        <w:jc w:val="both"/>
        <w:rPr>
          <w:rFonts w:ascii="Tahoma" w:hAnsi="Tahoma" w:cs="Tahoma"/>
          <w:sz w:val="24"/>
          <w:szCs w:val="24"/>
        </w:rPr>
      </w:pPr>
      <w:r w:rsidRPr="00B66856">
        <w:rPr>
          <w:rFonts w:ascii="Tahoma" w:hAnsi="Tahoma" w:cs="Tahoma"/>
          <w:sz w:val="24"/>
          <w:szCs w:val="24"/>
        </w:rPr>
        <w:t>Determine if endothelial derived EV are a good predictive marker of future stroke risk.</w:t>
      </w:r>
    </w:p>
    <w:p w14:paraId="6C5307FD" w14:textId="77777777" w:rsidR="006B4F5C" w:rsidRPr="006B4F5C" w:rsidRDefault="006B4F5C" w:rsidP="006B4F5C">
      <w:pPr>
        <w:spacing w:after="0" w:line="240" w:lineRule="auto"/>
        <w:jc w:val="both"/>
        <w:rPr>
          <w:rFonts w:ascii="Tahoma" w:hAnsi="Tahoma" w:cs="Tahoma"/>
          <w:b/>
          <w:bCs/>
          <w:sz w:val="16"/>
          <w:szCs w:val="16"/>
        </w:rPr>
      </w:pPr>
    </w:p>
    <w:p w14:paraId="4F0C03D1" w14:textId="104C5553" w:rsidR="001D73FB" w:rsidRDefault="001D73FB" w:rsidP="006B4F5C">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6924C9F9" w:rsidR="00312351" w:rsidRDefault="006B4F5C" w:rsidP="006B4F5C">
      <w:pPr>
        <w:spacing w:after="0" w:line="240" w:lineRule="auto"/>
        <w:jc w:val="both"/>
        <w:rPr>
          <w:rFonts w:ascii="Tahoma" w:hAnsi="Tahoma" w:cs="Tahoma"/>
          <w:kern w:val="2"/>
          <w:sz w:val="24"/>
          <w:szCs w:val="24"/>
          <w14:ligatures w14:val="standardContextual"/>
        </w:rPr>
      </w:pPr>
      <w:r w:rsidRPr="00B66856">
        <w:rPr>
          <w:rFonts w:ascii="Tahoma" w:hAnsi="Tahoma" w:cs="Tahoma"/>
          <w:kern w:val="2"/>
          <w:sz w:val="24"/>
          <w:szCs w:val="24"/>
          <w14:ligatures w14:val="standardContextual"/>
        </w:rPr>
        <w:t>TIA patients (N=210) and “TIA mimic” (N=40) patients were recruited from TIA clinic at Prince Charles Hospital Merthyr and were compared to a group of healthy controls (N=40). Extensive biochemical testing was carried out, including state-of-the-art EV isolation and characterisation. Nanosight tracking analysis was used to determine EV concentration and size following isolation from a-cellular plasma using size exclusion chromatography. Confirmation of EV character was determined by positively selecting those particles which expressed the antigen CD9 by flow cytometry. Further phenotypic analysis was carried out to identify pro-thrombotic endothelial cell character (CD144). Results are expressed as percentage of CD9 positive EV. EV were added to an in-house coagulation assay to assess their role in clotting and lysis</w:t>
      </w:r>
      <w:r>
        <w:rPr>
          <w:rFonts w:ascii="Tahoma" w:hAnsi="Tahoma" w:cs="Tahoma"/>
          <w:kern w:val="2"/>
          <w:sz w:val="24"/>
          <w:szCs w:val="24"/>
          <w14:ligatures w14:val="standardContextual"/>
        </w:rPr>
        <w:t>.</w:t>
      </w:r>
    </w:p>
    <w:p w14:paraId="43654EB1" w14:textId="77777777" w:rsidR="006B4F5C" w:rsidRPr="006B4F5C" w:rsidRDefault="006B4F5C" w:rsidP="006B4F5C">
      <w:pPr>
        <w:spacing w:after="0" w:line="240" w:lineRule="auto"/>
        <w:jc w:val="both"/>
        <w:rPr>
          <w:rFonts w:ascii="Tahoma" w:hAnsi="Tahoma" w:cs="Tahoma"/>
          <w:sz w:val="16"/>
          <w:szCs w:val="16"/>
        </w:rPr>
      </w:pPr>
    </w:p>
    <w:p w14:paraId="335C0979" w14:textId="126EF99F" w:rsidR="001D73FB" w:rsidRDefault="001D73FB" w:rsidP="006B4F5C">
      <w:pPr>
        <w:spacing w:after="0" w:line="240" w:lineRule="auto"/>
        <w:jc w:val="both"/>
        <w:rPr>
          <w:rFonts w:ascii="Tahoma" w:hAnsi="Tahoma" w:cs="Tahoma"/>
          <w:b/>
          <w:bCs/>
          <w:sz w:val="24"/>
          <w:szCs w:val="24"/>
        </w:rPr>
      </w:pPr>
      <w:r>
        <w:rPr>
          <w:rFonts w:ascii="Tahoma" w:hAnsi="Tahoma" w:cs="Tahoma"/>
          <w:b/>
          <w:bCs/>
          <w:sz w:val="24"/>
          <w:szCs w:val="24"/>
        </w:rPr>
        <w:t>Results:</w:t>
      </w:r>
    </w:p>
    <w:p w14:paraId="466AF8F1" w14:textId="10DD0787" w:rsidR="006B4F5C" w:rsidRDefault="00A845B2" w:rsidP="006B4F5C">
      <w:pPr>
        <w:spacing w:after="0" w:line="240" w:lineRule="auto"/>
        <w:jc w:val="both"/>
        <w:rPr>
          <w:rFonts w:ascii="Tahoma" w:hAnsi="Tahoma" w:cs="Tahoma"/>
          <w:b/>
          <w:bCs/>
          <w:sz w:val="24"/>
          <w:szCs w:val="24"/>
        </w:rPr>
      </w:pPr>
      <w:sdt>
        <w:sdtPr>
          <w:rPr>
            <w:rFonts w:ascii="Tahoma" w:hAnsi="Tahoma" w:cs="Tahoma"/>
            <w:kern w:val="2"/>
            <w:sz w:val="24"/>
            <w:szCs w:val="24"/>
            <w14:ligatures w14:val="standardContextual"/>
          </w:rPr>
          <w:id w:val="-2081054370"/>
          <w:placeholder>
            <w:docPart w:val="422061C2F73346F3864337C83AD7F0D7"/>
          </w:placeholder>
          <w:text/>
        </w:sdtPr>
        <w:sdtEndPr/>
        <w:sdtContent>
          <w:r w:rsidR="006B4F5C" w:rsidRPr="00B66856">
            <w:rPr>
              <w:rFonts w:ascii="Tahoma" w:hAnsi="Tahoma" w:cs="Tahoma"/>
              <w:kern w:val="2"/>
              <w:sz w:val="24"/>
              <w:szCs w:val="24"/>
              <w14:ligatures w14:val="standardContextual"/>
            </w:rPr>
            <w:t>EV number was significantly increased in TIA mimic (P&lt;0.05) and TIA patients (p&lt;0.01) in comparison to healthy controls. The resultant proportion of endothelial derived EV (CD9+CD144+) was significantly increased (P&lt;0.001) in both the “TIA mimic” and TIA patient cohorts in comparison to healthy controls. There was no significant difference in the proportion of endothelial derived EV between “TIA mimic” and TIA patient. Incorporation of TIA patient EV into a coagulation assay, showed EV causes plasma to clot faster (p&lt;0.001) and take longer to lyse (p&lt;0.001).</w:t>
          </w:r>
        </w:sdtContent>
      </w:sdt>
    </w:p>
    <w:p w14:paraId="08DB7FB5" w14:textId="77777777" w:rsidR="006B4F5C" w:rsidRPr="006B4F5C" w:rsidRDefault="006B4F5C" w:rsidP="006B4F5C">
      <w:pPr>
        <w:spacing w:after="0" w:line="240" w:lineRule="auto"/>
        <w:jc w:val="both"/>
        <w:rPr>
          <w:rFonts w:ascii="Tahoma" w:hAnsi="Tahoma" w:cs="Tahoma"/>
          <w:b/>
          <w:bCs/>
          <w:sz w:val="16"/>
          <w:szCs w:val="16"/>
        </w:rPr>
      </w:pPr>
    </w:p>
    <w:p w14:paraId="79D016C6" w14:textId="1298BEC6" w:rsidR="001D73FB" w:rsidRDefault="001D73FB" w:rsidP="006B4F5C">
      <w:pPr>
        <w:spacing w:after="0" w:line="240" w:lineRule="auto"/>
        <w:jc w:val="both"/>
        <w:rPr>
          <w:rFonts w:ascii="Tahoma" w:hAnsi="Tahoma" w:cs="Tahoma"/>
          <w:b/>
          <w:bCs/>
          <w:sz w:val="24"/>
          <w:szCs w:val="24"/>
        </w:rPr>
      </w:pPr>
      <w:r>
        <w:rPr>
          <w:rFonts w:ascii="Tahoma" w:hAnsi="Tahoma" w:cs="Tahoma"/>
          <w:b/>
          <w:bCs/>
          <w:sz w:val="24"/>
          <w:szCs w:val="24"/>
        </w:rPr>
        <w:t>Conclusion:</w:t>
      </w:r>
    </w:p>
    <w:p w14:paraId="63B0AFF5" w14:textId="0EA9C938" w:rsidR="006B4F5C" w:rsidRDefault="00A845B2" w:rsidP="006B4F5C">
      <w:pPr>
        <w:spacing w:after="0" w:line="240" w:lineRule="auto"/>
        <w:jc w:val="both"/>
        <w:rPr>
          <w:rFonts w:ascii="Tahoma" w:hAnsi="Tahoma" w:cs="Tahoma"/>
          <w:b/>
          <w:bCs/>
          <w:sz w:val="24"/>
          <w:szCs w:val="24"/>
        </w:rPr>
      </w:pPr>
      <w:sdt>
        <w:sdtPr>
          <w:rPr>
            <w:rFonts w:ascii="Tahoma" w:hAnsi="Tahoma" w:cs="Tahoma"/>
            <w:kern w:val="2"/>
            <w:sz w:val="24"/>
            <w:szCs w:val="24"/>
            <w14:ligatures w14:val="standardContextual"/>
          </w:rPr>
          <w:id w:val="1710290598"/>
          <w:placeholder>
            <w:docPart w:val="E898864A84A64AB38585C365FF958B8A"/>
          </w:placeholder>
          <w:text/>
        </w:sdtPr>
        <w:sdtEndPr/>
        <w:sdtContent>
          <w:r w:rsidR="006B4F5C" w:rsidRPr="00B66856">
            <w:rPr>
              <w:rFonts w:ascii="Tahoma" w:hAnsi="Tahoma" w:cs="Tahoma"/>
              <w:kern w:val="2"/>
              <w:sz w:val="24"/>
              <w:szCs w:val="24"/>
              <w14:ligatures w14:val="standardContextual"/>
            </w:rPr>
            <w:t xml:space="preserve">Endothelial derived EV have been associated with pro coagulant capability which may have an impact on future stroke risk. The increase in endothelial EV does not appear specific to TIA patients </w:t>
          </w:r>
          <w:r w:rsidR="006B4F5C" w:rsidRPr="00B66856">
            <w:rPr>
              <w:rFonts w:ascii="Tahoma" w:hAnsi="Tahoma" w:cs="Tahoma"/>
              <w:kern w:val="2"/>
              <w:sz w:val="24"/>
              <w:szCs w:val="24"/>
              <w14:ligatures w14:val="standardContextual"/>
            </w:rPr>
            <w:lastRenderedPageBreak/>
            <w:t>and highlights the potential risk of future stroke in the TIA mimic cohort. Continued monitoring of the populations will determine if high endothelial EV number is indicative of stroke risk.</w:t>
          </w:r>
        </w:sdtContent>
      </w:sdt>
    </w:p>
    <w:sectPr w:rsidR="006B4F5C"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07E48"/>
    <w:rsid w:val="000114E7"/>
    <w:rsid w:val="001300DE"/>
    <w:rsid w:val="00194A45"/>
    <w:rsid w:val="001D73FB"/>
    <w:rsid w:val="00312351"/>
    <w:rsid w:val="003378B3"/>
    <w:rsid w:val="00400A84"/>
    <w:rsid w:val="00664724"/>
    <w:rsid w:val="006B4F5C"/>
    <w:rsid w:val="0073698D"/>
    <w:rsid w:val="0084790E"/>
    <w:rsid w:val="00957516"/>
    <w:rsid w:val="00A70F30"/>
    <w:rsid w:val="00A845B2"/>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2061C2F73346F3864337C83AD7F0D7"/>
        <w:category>
          <w:name w:val="General"/>
          <w:gallery w:val="placeholder"/>
        </w:category>
        <w:types>
          <w:type w:val="bbPlcHdr"/>
        </w:types>
        <w:behaviors>
          <w:behavior w:val="content"/>
        </w:behaviors>
        <w:guid w:val="{3A6B0550-61D2-45F1-B27A-F5D7EC9F4458}"/>
      </w:docPartPr>
      <w:docPartBody>
        <w:p w:rsidR="008734FD" w:rsidRDefault="008A2097" w:rsidP="008A2097">
          <w:pPr>
            <w:pStyle w:val="422061C2F73346F3864337C83AD7F0D7"/>
          </w:pPr>
          <w:r w:rsidRPr="00810C78">
            <w:rPr>
              <w:rStyle w:val="PlaceholderText"/>
            </w:rPr>
            <w:t>Click or tap here to enter text.</w:t>
          </w:r>
        </w:p>
      </w:docPartBody>
    </w:docPart>
    <w:docPart>
      <w:docPartPr>
        <w:name w:val="E898864A84A64AB38585C365FF958B8A"/>
        <w:category>
          <w:name w:val="General"/>
          <w:gallery w:val="placeholder"/>
        </w:category>
        <w:types>
          <w:type w:val="bbPlcHdr"/>
        </w:types>
        <w:behaviors>
          <w:behavior w:val="content"/>
        </w:behaviors>
        <w:guid w:val="{A357E936-F8D7-4BA1-B7F5-BAA972786458}"/>
      </w:docPartPr>
      <w:docPartBody>
        <w:p w:rsidR="008734FD" w:rsidRDefault="008A2097" w:rsidP="008A2097">
          <w:pPr>
            <w:pStyle w:val="E898864A84A64AB38585C365FF958B8A"/>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97"/>
    <w:rsid w:val="008734FD"/>
    <w:rsid w:val="008A2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2097"/>
    <w:rPr>
      <w:color w:val="808080"/>
    </w:rPr>
  </w:style>
  <w:style w:type="paragraph" w:customStyle="1" w:styleId="422061C2F73346F3864337C83AD7F0D7">
    <w:name w:val="422061C2F73346F3864337C83AD7F0D7"/>
    <w:rsid w:val="008A2097"/>
  </w:style>
  <w:style w:type="paragraph" w:customStyle="1" w:styleId="E898864A84A64AB38585C365FF958B8A">
    <w:name w:val="E898864A84A64AB38585C365FF958B8A"/>
    <w:rsid w:val="008A2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2024-11-12T16:35:00Z</dcterms:created>
  <dcterms:modified xsi:type="dcterms:W3CDTF">2024-11-22T09:42:00Z</dcterms:modified>
</cp:coreProperties>
</file>