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46EC171A" w:rsidR="003378B3" w:rsidRDefault="003378B3" w:rsidP="00117655">
      <w:pPr>
        <w:spacing w:after="0" w:line="240" w:lineRule="auto"/>
        <w:rPr>
          <w:rFonts w:ascii="Tahoma" w:hAnsi="Tahoma" w:cs="Tahoma"/>
          <w:b/>
          <w:bCs/>
          <w:noProof/>
          <w:color w:val="32598A"/>
          <w:sz w:val="28"/>
          <w:szCs w:val="28"/>
        </w:rPr>
      </w:pPr>
      <w:r>
        <w:rPr>
          <w:rFonts w:ascii="Tahoma" w:hAnsi="Tahoma" w:cs="Tahoma"/>
          <w:b/>
          <w:bCs/>
          <w:noProof/>
          <w:color w:val="32598A"/>
          <w:sz w:val="28"/>
          <w:szCs w:val="28"/>
        </w:rPr>
        <w:t>POSTER PRESENTATION :</w:t>
      </w:r>
      <w:r w:rsidR="00DD7273">
        <w:rPr>
          <w:rFonts w:ascii="Tahoma" w:hAnsi="Tahoma" w:cs="Tahoma"/>
          <w:b/>
          <w:bCs/>
          <w:noProof/>
          <w:color w:val="32598A"/>
          <w:sz w:val="28"/>
          <w:szCs w:val="28"/>
        </w:rPr>
        <w:t xml:space="preserve"> 40</w:t>
      </w:r>
    </w:p>
    <w:p w14:paraId="04093375" w14:textId="031B96B4" w:rsidR="00117655" w:rsidRPr="00117655" w:rsidRDefault="00DD7273" w:rsidP="00117655">
      <w:pPr>
        <w:spacing w:after="0" w:line="240" w:lineRule="auto"/>
        <w:rPr>
          <w:rFonts w:ascii="Tahoma" w:hAnsi="Tahoma" w:cs="Tahoma"/>
          <w:b/>
          <w:bCs/>
          <w:noProof/>
          <w:color w:val="32598A"/>
          <w:sz w:val="24"/>
          <w:szCs w:val="24"/>
        </w:rPr>
      </w:pPr>
      <w:sdt>
        <w:sdtPr>
          <w:rPr>
            <w:rFonts w:ascii="Tahoma" w:hAnsi="Tahoma" w:cs="Tahoma"/>
            <w:sz w:val="24"/>
            <w:szCs w:val="24"/>
          </w:rPr>
          <w:id w:val="495000437"/>
          <w:placeholder>
            <w:docPart w:val="95856AE88EEF41B2B473CAC38D540A48"/>
          </w:placeholder>
          <w:text/>
        </w:sdtPr>
        <w:sdtEndPr/>
        <w:sdtContent>
          <w:r w:rsidR="00117655" w:rsidRPr="00117655">
            <w:rPr>
              <w:rFonts w:ascii="Tahoma" w:hAnsi="Tahoma" w:cs="Tahoma"/>
              <w:sz w:val="24"/>
              <w:szCs w:val="24"/>
            </w:rPr>
            <w:t>Building a Pharmacy Research Community of Practice for Cwm Taf Morgannwg University Health Board</w:t>
          </w:r>
          <w:r w:rsidR="00117655">
            <w:rPr>
              <w:rFonts w:ascii="Tahoma" w:hAnsi="Tahoma" w:cs="Tahoma"/>
              <w:sz w:val="24"/>
              <w:szCs w:val="24"/>
            </w:rPr>
            <w:t>.</w:t>
          </w:r>
        </w:sdtContent>
      </w:sdt>
    </w:p>
    <w:p w14:paraId="14FC3306" w14:textId="77777777" w:rsidR="00117655" w:rsidRPr="00117655" w:rsidRDefault="00117655" w:rsidP="00117655">
      <w:pPr>
        <w:spacing w:after="0" w:line="240" w:lineRule="auto"/>
        <w:rPr>
          <w:rFonts w:ascii="Tahoma" w:hAnsi="Tahoma" w:cs="Tahoma"/>
          <w:b/>
          <w:bCs/>
          <w:noProof/>
          <w:color w:val="32598A"/>
          <w:sz w:val="16"/>
          <w:szCs w:val="16"/>
        </w:rPr>
      </w:pPr>
    </w:p>
    <w:p w14:paraId="5CFA3287" w14:textId="566AF12B" w:rsidR="003378B3" w:rsidRPr="00E0156E" w:rsidRDefault="003378B3" w:rsidP="00117655">
      <w:pPr>
        <w:spacing w:line="240" w:lineRule="auto"/>
        <w:rPr>
          <w:rFonts w:ascii="Tahoma" w:hAnsi="Tahoma" w:cs="Tahoma"/>
          <w:noProof/>
          <w:sz w:val="24"/>
          <w:szCs w:val="24"/>
        </w:rPr>
      </w:pPr>
      <w:r w:rsidRPr="0073698D">
        <w:rPr>
          <w:rFonts w:ascii="Tahoma" w:hAnsi="Tahoma" w:cs="Tahoma"/>
          <w:b/>
          <w:bCs/>
          <w:noProof/>
          <w:color w:val="32598A"/>
          <w:sz w:val="28"/>
          <w:szCs w:val="28"/>
        </w:rPr>
        <w:t>Author/s:</w:t>
      </w:r>
      <w:r w:rsidR="00117655">
        <w:rPr>
          <w:rFonts w:ascii="Tahoma" w:hAnsi="Tahoma" w:cs="Tahoma"/>
          <w:b/>
          <w:bCs/>
          <w:noProof/>
          <w:color w:val="32598A"/>
          <w:sz w:val="28"/>
          <w:szCs w:val="28"/>
        </w:rPr>
        <w:t xml:space="preserve"> </w:t>
      </w:r>
      <w:r w:rsidR="00117655" w:rsidRPr="00117655">
        <w:rPr>
          <w:rFonts w:ascii="Tahoma" w:hAnsi="Tahoma" w:cs="Tahoma"/>
          <w:noProof/>
          <w:sz w:val="24"/>
          <w:szCs w:val="24"/>
        </w:rPr>
        <w:t>Brown</w:t>
      </w:r>
      <w:r w:rsidR="00117655">
        <w:rPr>
          <w:rFonts w:ascii="Tahoma" w:hAnsi="Tahoma" w:cs="Tahoma"/>
          <w:noProof/>
          <w:sz w:val="24"/>
          <w:szCs w:val="24"/>
        </w:rPr>
        <w:t>, S</w:t>
      </w:r>
      <w:r w:rsidR="00117655">
        <w:rPr>
          <w:rFonts w:ascii="Tahoma" w:hAnsi="Tahoma" w:cs="Tahoma"/>
          <w:noProof/>
          <w:sz w:val="24"/>
          <w:szCs w:val="24"/>
          <w:vertAlign w:val="superscript"/>
        </w:rPr>
        <w:t>1</w:t>
      </w:r>
      <w:r w:rsidR="00117655">
        <w:rPr>
          <w:rFonts w:ascii="Tahoma" w:hAnsi="Tahoma" w:cs="Tahoma"/>
          <w:noProof/>
          <w:sz w:val="24"/>
          <w:szCs w:val="24"/>
        </w:rPr>
        <w:t>., Roberts, G</w:t>
      </w:r>
      <w:r w:rsidR="00117655">
        <w:rPr>
          <w:rFonts w:ascii="Tahoma" w:hAnsi="Tahoma" w:cs="Tahoma"/>
          <w:noProof/>
          <w:sz w:val="24"/>
          <w:szCs w:val="24"/>
          <w:vertAlign w:val="superscript"/>
        </w:rPr>
        <w:t>2</w:t>
      </w:r>
      <w:r w:rsidR="00117655">
        <w:rPr>
          <w:rFonts w:ascii="Tahoma" w:hAnsi="Tahoma" w:cs="Tahoma"/>
          <w:noProof/>
          <w:sz w:val="24"/>
          <w:szCs w:val="24"/>
        </w:rPr>
        <w:t>., James, D</w:t>
      </w:r>
      <w:r w:rsidR="00CB0E2E">
        <w:rPr>
          <w:rFonts w:ascii="Tahoma" w:hAnsi="Tahoma" w:cs="Tahoma"/>
          <w:noProof/>
          <w:sz w:val="24"/>
          <w:szCs w:val="24"/>
          <w:vertAlign w:val="superscript"/>
        </w:rPr>
        <w:t>3</w:t>
      </w:r>
      <w:r w:rsidR="00117655">
        <w:rPr>
          <w:rFonts w:ascii="Tahoma" w:hAnsi="Tahoma" w:cs="Tahoma"/>
          <w:noProof/>
          <w:sz w:val="24"/>
          <w:szCs w:val="24"/>
        </w:rPr>
        <w:t>.</w:t>
      </w:r>
      <w:r w:rsidR="00117655" w:rsidRPr="00117655">
        <w:rPr>
          <w:rFonts w:ascii="Tahoma" w:hAnsi="Tahoma" w:cs="Tahoma"/>
          <w:sz w:val="24"/>
          <w:szCs w:val="24"/>
        </w:rPr>
        <w:t xml:space="preserve">, </w:t>
      </w:r>
    </w:p>
    <w:p w14:paraId="0EF06F1D" w14:textId="28BC2F2F" w:rsidR="0073698D" w:rsidRDefault="0073698D" w:rsidP="00117655">
      <w:pPr>
        <w:spacing w:line="240" w:lineRule="auto"/>
        <w:rPr>
          <w:rFonts w:ascii="Tahoma" w:hAnsi="Tahoma" w:cs="Tahoma"/>
          <w:noProof/>
          <w:sz w:val="24"/>
          <w:szCs w:val="24"/>
        </w:rPr>
      </w:pPr>
      <w:r>
        <w:rPr>
          <w:rFonts w:ascii="Tahoma" w:hAnsi="Tahoma" w:cs="Tahoma"/>
          <w:b/>
          <w:bCs/>
          <w:noProof/>
          <w:color w:val="32598A"/>
          <w:sz w:val="28"/>
          <w:szCs w:val="28"/>
        </w:rPr>
        <w:t>Department:</w:t>
      </w:r>
      <w:r w:rsidR="00117655">
        <w:rPr>
          <w:rFonts w:ascii="Tahoma" w:hAnsi="Tahoma" w:cs="Tahoma"/>
          <w:noProof/>
          <w:sz w:val="24"/>
          <w:szCs w:val="24"/>
        </w:rPr>
        <w:t xml:space="preserve"> </w:t>
      </w:r>
      <w:r w:rsidR="00117655">
        <w:rPr>
          <w:rFonts w:ascii="Tahoma" w:hAnsi="Tahoma" w:cs="Tahoma"/>
          <w:noProof/>
          <w:sz w:val="24"/>
          <w:szCs w:val="24"/>
          <w:vertAlign w:val="superscript"/>
        </w:rPr>
        <w:t>1</w:t>
      </w:r>
      <w:r w:rsidR="00117655">
        <w:rPr>
          <w:rFonts w:ascii="Tahoma" w:hAnsi="Tahoma" w:cs="Tahoma"/>
          <w:noProof/>
          <w:sz w:val="24"/>
          <w:szCs w:val="24"/>
        </w:rPr>
        <w:t xml:space="preserve">Research Associate in Applied Psychology and Popualtion Health, Cardiff Metropolitan University. </w:t>
      </w:r>
      <w:r w:rsidR="00117655">
        <w:rPr>
          <w:rFonts w:ascii="Tahoma" w:hAnsi="Tahoma" w:cs="Tahoma"/>
          <w:noProof/>
          <w:sz w:val="24"/>
          <w:szCs w:val="24"/>
          <w:vertAlign w:val="superscript"/>
        </w:rPr>
        <w:t>2</w:t>
      </w:r>
      <w:r w:rsidR="00117655">
        <w:rPr>
          <w:rFonts w:ascii="Tahoma" w:hAnsi="Tahoma" w:cs="Tahoma"/>
          <w:noProof/>
          <w:sz w:val="24"/>
          <w:szCs w:val="24"/>
        </w:rPr>
        <w:t xml:space="preserve">Pharmacy Department, Cwm Taf Morgannwg University Health Board. </w:t>
      </w:r>
      <w:r w:rsidR="00117655" w:rsidRPr="00117655">
        <w:rPr>
          <w:rFonts w:ascii="Tahoma" w:hAnsi="Tahoma" w:cs="Tahoma"/>
          <w:sz w:val="28"/>
          <w:szCs w:val="28"/>
        </w:rPr>
        <w:t xml:space="preserve"> </w:t>
      </w:r>
      <w:r w:rsidR="00117655">
        <w:rPr>
          <w:rFonts w:ascii="Tahoma" w:hAnsi="Tahoma" w:cs="Tahoma"/>
          <w:sz w:val="28"/>
          <w:szCs w:val="28"/>
          <w:vertAlign w:val="superscript"/>
        </w:rPr>
        <w:t>3</w:t>
      </w:r>
      <w:r w:rsidR="00117655" w:rsidRPr="00117655">
        <w:rPr>
          <w:rFonts w:ascii="Tahoma" w:hAnsi="Tahoma" w:cs="Tahoma"/>
          <w:sz w:val="24"/>
          <w:szCs w:val="24"/>
        </w:rPr>
        <w:t>Health Psychology in Pharmacy</w:t>
      </w:r>
      <w:r w:rsidR="00CB0E2E">
        <w:rPr>
          <w:rFonts w:ascii="Tahoma" w:hAnsi="Tahoma" w:cs="Tahoma"/>
          <w:sz w:val="24"/>
          <w:szCs w:val="24"/>
        </w:rPr>
        <w:t>,</w:t>
      </w:r>
      <w:r w:rsidR="00CB0E2E" w:rsidRPr="00CB0E2E">
        <w:rPr>
          <w:rFonts w:ascii="Tahoma" w:hAnsi="Tahoma" w:cs="Tahoma"/>
          <w:noProof/>
          <w:sz w:val="24"/>
          <w:szCs w:val="24"/>
        </w:rPr>
        <w:t xml:space="preserve"> </w:t>
      </w:r>
      <w:r w:rsidR="00CB0E2E">
        <w:rPr>
          <w:rFonts w:ascii="Tahoma" w:hAnsi="Tahoma" w:cs="Tahoma"/>
          <w:noProof/>
          <w:sz w:val="24"/>
          <w:szCs w:val="24"/>
        </w:rPr>
        <w:t>Cardiff Metropolitan University.</w:t>
      </w:r>
    </w:p>
    <w:p w14:paraId="5C2DF48A" w14:textId="77777777" w:rsidR="001D73FB" w:rsidRPr="00101A21" w:rsidRDefault="001D73FB" w:rsidP="00117655">
      <w:pPr>
        <w:shd w:val="clear" w:color="auto" w:fill="32598A"/>
        <w:spacing w:line="240" w:lineRule="auto"/>
        <w:rPr>
          <w:color w:val="0066CC"/>
        </w:rPr>
      </w:pPr>
    </w:p>
    <w:p w14:paraId="538FA88B" w14:textId="0B710386" w:rsidR="00400A84" w:rsidRDefault="001D73FB" w:rsidP="00CB0E2E">
      <w:pPr>
        <w:spacing w:after="0" w:line="240" w:lineRule="auto"/>
        <w:rPr>
          <w:rFonts w:ascii="Tahoma" w:hAnsi="Tahoma" w:cs="Tahoma"/>
          <w:b/>
          <w:bCs/>
          <w:sz w:val="24"/>
          <w:szCs w:val="24"/>
        </w:rPr>
      </w:pPr>
      <w:r>
        <w:rPr>
          <w:rFonts w:ascii="Tahoma" w:hAnsi="Tahoma" w:cs="Tahoma"/>
          <w:b/>
          <w:bCs/>
          <w:sz w:val="24"/>
          <w:szCs w:val="24"/>
        </w:rPr>
        <w:t>Introduction:</w:t>
      </w:r>
    </w:p>
    <w:p w14:paraId="09A0F4F7" w14:textId="7EE24D91" w:rsidR="00CB0E2E" w:rsidRDefault="00DD7273" w:rsidP="00CB0E2E">
      <w:pPr>
        <w:spacing w:line="240" w:lineRule="auto"/>
        <w:jc w:val="both"/>
        <w:rPr>
          <w:rFonts w:ascii="Tahoma" w:hAnsi="Tahoma" w:cs="Tahoma"/>
          <w:b/>
          <w:bCs/>
          <w:sz w:val="24"/>
          <w:szCs w:val="24"/>
        </w:rPr>
      </w:pPr>
      <w:sdt>
        <w:sdtPr>
          <w:rPr>
            <w:rFonts w:ascii="Tahoma" w:hAnsi="Tahoma" w:cs="Tahoma"/>
            <w:kern w:val="2"/>
            <w:sz w:val="24"/>
            <w:szCs w:val="24"/>
            <w14:ligatures w14:val="standardContextual"/>
          </w:rPr>
          <w:id w:val="-1126613510"/>
          <w:placeholder>
            <w:docPart w:val="7F9ADF4FA4FF4AFAAE1A84E645C9EC38"/>
          </w:placeholder>
          <w:text/>
        </w:sdtPr>
        <w:sdtEndPr/>
        <w:sdtContent>
          <w:r w:rsidR="00CB0E2E" w:rsidRPr="0054332A">
            <w:rPr>
              <w:rFonts w:ascii="Tahoma" w:hAnsi="Tahoma" w:cs="Tahoma"/>
              <w:kern w:val="2"/>
              <w:sz w:val="24"/>
              <w:szCs w:val="24"/>
              <w14:ligatures w14:val="standardContextual"/>
            </w:rPr>
            <w:t>Research is a key pillar of pharmacy professional practice, improving the delivery of pharmacy services and supporting evidence-based practice (1,2). While pharmacists have historically been able to achieve career progression without a strong research portfolio, research forms one of four pillars of professional practice necessary for Pharmacy Advanced Practice and Consultant credentialing (3,4). Despite this, only a minority of the UK pharmacy workforce is currently research-active (1), therefore research has been identified as an area for development across the pharmacy profession.  The literature shows pharmacists’ barriers and facilitators to research engagement are multifactorial, including a lack of time, skills and confidence to engage (2,5). To explore barriers to and facilitators for engagement in research within the pharmacy workforce in Cwm Taf Morgannwg University Health Board (CTMUHB), our team undertook two workshops with Band 8A and 8B pharmacists, funded through a Strategic Innovation Partnership Scheme (SIPS). Preliminary workshop findings showed that the barriers and facilitators spanned all components of the COM-B model of Behaviour (6) (where Behaviour = research activity, C= capability, O= opportunity and M= motivation to engage in research). Barriers identified included a perceived lack of support network and facilitators included availability of role models. These findings are echoed in the wider literature, where a strong organisational research culture supported by senior leadership and visibility of research within an organisation have been identified as facilitators of workforce research engagement (5,7). Recommendations for building research capacity from a recent NHS report of UK pharmacy professionals’ involvement in research included support through mentoring, including building collaborative communities of practice (1).</w:t>
          </w:r>
        </w:sdtContent>
      </w:sdt>
    </w:p>
    <w:p w14:paraId="7348F163" w14:textId="17D4442F" w:rsidR="001D73FB" w:rsidRDefault="001D73FB" w:rsidP="00CB0E2E">
      <w:pPr>
        <w:spacing w:after="0" w:line="240" w:lineRule="auto"/>
        <w:jc w:val="both"/>
        <w:rPr>
          <w:rFonts w:ascii="Tahoma" w:hAnsi="Tahoma" w:cs="Tahoma"/>
          <w:b/>
          <w:bCs/>
          <w:sz w:val="24"/>
          <w:szCs w:val="24"/>
        </w:rPr>
      </w:pPr>
      <w:r>
        <w:rPr>
          <w:rFonts w:ascii="Tahoma" w:hAnsi="Tahoma" w:cs="Tahoma"/>
          <w:b/>
          <w:bCs/>
          <w:sz w:val="24"/>
          <w:szCs w:val="24"/>
        </w:rPr>
        <w:t>Aim:</w:t>
      </w:r>
    </w:p>
    <w:p w14:paraId="45487DA4" w14:textId="798874F5" w:rsidR="00CB0E2E" w:rsidRDefault="00DD7273" w:rsidP="00CB0E2E">
      <w:pPr>
        <w:spacing w:after="0" w:line="240" w:lineRule="auto"/>
        <w:jc w:val="both"/>
        <w:rPr>
          <w:rFonts w:ascii="Tahoma" w:hAnsi="Tahoma" w:cs="Tahoma"/>
          <w:b/>
          <w:bCs/>
          <w:sz w:val="24"/>
          <w:szCs w:val="24"/>
        </w:rPr>
      </w:pPr>
      <w:sdt>
        <w:sdtPr>
          <w:rPr>
            <w:rFonts w:ascii="Tahoma" w:hAnsi="Tahoma" w:cs="Tahoma"/>
            <w:color w:val="000000" w:themeColor="text1"/>
            <w:kern w:val="2"/>
            <w:sz w:val="24"/>
            <w:szCs w:val="24"/>
            <w:shd w:val="clear" w:color="auto" w:fill="FFFFFF"/>
            <w14:ligatures w14:val="standardContextual"/>
          </w:rPr>
          <w:id w:val="506803389"/>
          <w:placeholder>
            <w:docPart w:val="9FDFC3A23FB74BC28823F54BAD3F7DF3"/>
          </w:placeholder>
          <w:text/>
        </w:sdtPr>
        <w:sdtEndPr/>
        <w:sdtContent>
          <w:r w:rsidR="00CB0E2E" w:rsidRPr="0054332A">
            <w:rPr>
              <w:rFonts w:ascii="Tahoma" w:hAnsi="Tahoma" w:cs="Tahoma"/>
              <w:color w:val="000000" w:themeColor="text1"/>
              <w:kern w:val="2"/>
              <w:sz w:val="24"/>
              <w:szCs w:val="24"/>
              <w:shd w:val="clear" w:color="auto" w:fill="FFFFFF"/>
              <w14:ligatures w14:val="standardContextual"/>
            </w:rPr>
            <w:t>To increase the confidence and competence of the pharmacy workforce to engage in research by providing a forum for open discussion and peer support for research activities through a Pharmacy Research Community of Practice (PRCoP) in CTMUHB. The aims were addressed through the following objectives: 1.</w:t>
          </w:r>
          <w:r w:rsidR="00CB0E2E" w:rsidRPr="0054332A">
            <w:rPr>
              <w:rFonts w:ascii="Tahoma" w:hAnsi="Tahoma" w:cs="Tahoma"/>
              <w:color w:val="000000" w:themeColor="text1"/>
              <w:kern w:val="2"/>
              <w:sz w:val="24"/>
              <w:szCs w:val="24"/>
              <w:shd w:val="clear" w:color="auto" w:fill="FFFFFF"/>
              <w14:ligatures w14:val="standardContextual"/>
            </w:rPr>
            <w:tab/>
            <w:t>Identify future activities that will support research within CTMUHB and could be operationalised through the Pharmacy Research Community of Practice (PRCoP). 2.</w:t>
          </w:r>
          <w:r w:rsidR="00CB0E2E" w:rsidRPr="0054332A">
            <w:rPr>
              <w:rFonts w:ascii="Tahoma" w:hAnsi="Tahoma" w:cs="Tahoma"/>
              <w:color w:val="000000" w:themeColor="text1"/>
              <w:kern w:val="2"/>
              <w:sz w:val="24"/>
              <w:szCs w:val="24"/>
              <w:shd w:val="clear" w:color="auto" w:fill="FFFFFF"/>
              <w14:ligatures w14:val="standardContextual"/>
            </w:rPr>
            <w:tab/>
            <w:t>Provide a networking opportunity, through an in-person PRCoP launch event open to pharmacists and pharmacy technicians in CTMUHB. 3.</w:t>
          </w:r>
          <w:r w:rsidR="00CB0E2E" w:rsidRPr="0054332A">
            <w:rPr>
              <w:rFonts w:ascii="Tahoma" w:hAnsi="Tahoma" w:cs="Tahoma"/>
              <w:color w:val="000000" w:themeColor="text1"/>
              <w:kern w:val="2"/>
              <w:sz w:val="24"/>
              <w:szCs w:val="24"/>
              <w:shd w:val="clear" w:color="auto" w:fill="FFFFFF"/>
              <w14:ligatures w14:val="standardContextual"/>
            </w:rPr>
            <w:tab/>
            <w:t>Model research in practice by showcasing ongoing and recently completed research, service evaluation and/or quality improvement projects.</w:t>
          </w:r>
          <w:r w:rsidR="00CB0E2E">
            <w:rPr>
              <w:rFonts w:ascii="Tahoma" w:hAnsi="Tahoma" w:cs="Tahoma"/>
              <w:color w:val="000000" w:themeColor="text1"/>
              <w:kern w:val="2"/>
              <w:sz w:val="24"/>
              <w:szCs w:val="24"/>
              <w:shd w:val="clear" w:color="auto" w:fill="FFFFFF"/>
              <w14:ligatures w14:val="standardContextual"/>
            </w:rPr>
            <w:t xml:space="preserve"> </w:t>
          </w:r>
          <w:r w:rsidR="00CB0E2E" w:rsidRPr="0054332A">
            <w:rPr>
              <w:rFonts w:ascii="Tahoma" w:hAnsi="Tahoma" w:cs="Tahoma"/>
              <w:color w:val="000000" w:themeColor="text1"/>
              <w:kern w:val="2"/>
              <w:sz w:val="24"/>
              <w:szCs w:val="24"/>
              <w:shd w:val="clear" w:color="auto" w:fill="FFFFFF"/>
              <w14:ligatures w14:val="standardContextual"/>
            </w:rPr>
            <w:t>4.</w:t>
          </w:r>
          <w:r w:rsidR="00CB0E2E" w:rsidRPr="0054332A">
            <w:rPr>
              <w:rFonts w:ascii="Tahoma" w:hAnsi="Tahoma" w:cs="Tahoma"/>
              <w:color w:val="000000" w:themeColor="text1"/>
              <w:kern w:val="2"/>
              <w:sz w:val="24"/>
              <w:szCs w:val="24"/>
              <w:shd w:val="clear" w:color="auto" w:fill="FFFFFF"/>
              <w14:ligatures w14:val="standardContextual"/>
            </w:rPr>
            <w:tab/>
            <w:t xml:space="preserve">Signpost to research support resources, including online training resources and facilities available within CTMUHB. </w:t>
          </w:r>
        </w:sdtContent>
      </w:sdt>
    </w:p>
    <w:p w14:paraId="1174FAB3" w14:textId="77777777" w:rsidR="00CB0E2E" w:rsidRDefault="00CB0E2E" w:rsidP="00CB0E2E">
      <w:pPr>
        <w:spacing w:after="0" w:line="240" w:lineRule="auto"/>
        <w:jc w:val="both"/>
        <w:rPr>
          <w:rFonts w:ascii="Tahoma" w:hAnsi="Tahoma" w:cs="Tahoma"/>
          <w:b/>
          <w:bCs/>
          <w:sz w:val="24"/>
          <w:szCs w:val="24"/>
        </w:rPr>
      </w:pPr>
    </w:p>
    <w:p w14:paraId="6CAAAB77" w14:textId="77777777" w:rsidR="00CB0E2E" w:rsidRDefault="00CB0E2E" w:rsidP="00CB0E2E">
      <w:pPr>
        <w:spacing w:after="0" w:line="240" w:lineRule="auto"/>
        <w:jc w:val="both"/>
        <w:rPr>
          <w:rFonts w:ascii="Tahoma" w:hAnsi="Tahoma" w:cs="Tahoma"/>
          <w:b/>
          <w:bCs/>
          <w:sz w:val="24"/>
          <w:szCs w:val="24"/>
        </w:rPr>
      </w:pPr>
    </w:p>
    <w:p w14:paraId="4F0C03D1" w14:textId="4FC25102" w:rsidR="001D73FB" w:rsidRDefault="001D73FB" w:rsidP="00CB0E2E">
      <w:pPr>
        <w:spacing w:after="0" w:line="240" w:lineRule="auto"/>
        <w:jc w:val="both"/>
        <w:rPr>
          <w:rFonts w:ascii="Tahoma" w:hAnsi="Tahoma" w:cs="Tahoma"/>
          <w:b/>
          <w:bCs/>
          <w:sz w:val="24"/>
          <w:szCs w:val="24"/>
        </w:rPr>
      </w:pPr>
      <w:r>
        <w:rPr>
          <w:rFonts w:ascii="Tahoma" w:hAnsi="Tahoma" w:cs="Tahoma"/>
          <w:b/>
          <w:bCs/>
          <w:sz w:val="24"/>
          <w:szCs w:val="24"/>
        </w:rPr>
        <w:lastRenderedPageBreak/>
        <w:t>Methodology</w:t>
      </w:r>
      <w:r w:rsidR="00EF0E17">
        <w:rPr>
          <w:rFonts w:ascii="Tahoma" w:hAnsi="Tahoma" w:cs="Tahoma"/>
          <w:b/>
          <w:bCs/>
          <w:sz w:val="24"/>
          <w:szCs w:val="24"/>
        </w:rPr>
        <w:t>:</w:t>
      </w:r>
    </w:p>
    <w:p w14:paraId="1F2A26E0" w14:textId="77777777" w:rsidR="00CB0E2E" w:rsidRPr="0054332A" w:rsidRDefault="00DD7273" w:rsidP="00CB0E2E">
      <w:pPr>
        <w:spacing w:line="240" w:lineRule="auto"/>
        <w:jc w:val="both"/>
        <w:rPr>
          <w:rFonts w:ascii="Tahoma" w:hAnsi="Tahoma" w:cs="Tahoma"/>
          <w:sz w:val="28"/>
          <w:szCs w:val="28"/>
        </w:rPr>
      </w:pPr>
      <w:sdt>
        <w:sdtPr>
          <w:rPr>
            <w:rFonts w:ascii="Tahoma" w:hAnsi="Tahoma" w:cs="Tahoma"/>
            <w:kern w:val="2"/>
            <w:sz w:val="24"/>
            <w:szCs w:val="24"/>
            <w14:ligatures w14:val="standardContextual"/>
          </w:rPr>
          <w:id w:val="785011412"/>
          <w:placeholder>
            <w:docPart w:val="4D4B552CE99843B8A1C6B9D37FB46FAA"/>
          </w:placeholder>
          <w:text/>
        </w:sdtPr>
        <w:sdtEndPr/>
        <w:sdtContent>
          <w:r w:rsidR="00CB0E2E" w:rsidRPr="0054332A">
            <w:rPr>
              <w:rFonts w:ascii="Tahoma" w:hAnsi="Tahoma" w:cs="Tahoma"/>
              <w:kern w:val="2"/>
              <w:sz w:val="24"/>
              <w:szCs w:val="24"/>
              <w14:ligatures w14:val="standardContextual"/>
            </w:rPr>
            <w:t>Objective 1 was achieved by conducting analysis of previous workshop data with CTMUHB pharmacy staff and feedback from the networking event participants. Barriers and facilitators to research engagement from these workshops were thematically analysed using framework analysis (8), with the COM-B Model of Behaviour as the underpinning theoretical framework (6). This model posits that to enact a behaviour (for example, engaging in research), one must have the capability, opportunity and motivation to do so. The COM-B model forms the centre of the Behaviour Change Wheel (BCW), an evidence-based methodology for identifying and developing interventions to support behaviour change (6). Using the COM-B as a framework to organise pharmacists’ responses enabled the identification of areas for targeted support. These findings were used to inform the content of the launch event for the PRCoP. To address Objectives 2, 3 and 4, an in-person networking and signposting event was held in May 2024 at Cardiff Metropolitan University to launch the PRCoP, open to pharmacists and pharmacy technicians in CTMUHB from any sector. Key members of the senior leadership team in CTMUHB were invited to speak at the event, including the Chief Pharmacist, Head of Research and Development, and senior staff from the library service and Quality Improvement. To facilitate networking, researchers from Cardiff Metropolitan University were invited and seated with pharmacists with similar research interests. Research-active pharmacists from primary and secondary care also showcased their research.</w:t>
          </w:r>
          <w:r w:rsidR="00CB0E2E">
            <w:rPr>
              <w:rFonts w:ascii="Tahoma" w:hAnsi="Tahoma" w:cs="Tahoma"/>
              <w:kern w:val="2"/>
              <w:sz w:val="24"/>
              <w:szCs w:val="24"/>
              <w14:ligatures w14:val="standardContextual"/>
            </w:rPr>
            <w:t xml:space="preserve"> </w:t>
          </w:r>
          <w:r w:rsidR="00CB0E2E" w:rsidRPr="0054332A">
            <w:rPr>
              <w:rFonts w:ascii="Tahoma" w:hAnsi="Tahoma" w:cs="Tahoma"/>
              <w:kern w:val="2"/>
              <w:sz w:val="24"/>
              <w:szCs w:val="24"/>
              <w14:ligatures w14:val="standardContextual"/>
            </w:rPr>
            <w:t>A second ‘Journal Club’ event was held in the Vale Hotel in September 2024. This involved introducing the concept of a Journal Club to attendees, critically appraising a journal article using appropriate critical appraisal tools and discussing the methodology used. Attendees to both events were signposted to both taught and self-directed research training. In addition, resources were provided in the form of a mini library of research-related textbooks reserved for the pharmacy workforce. Activities and resources were supported through the CTMUHB and Academic Partners Collaborative Research Fund.</w:t>
          </w:r>
        </w:sdtContent>
      </w:sdt>
    </w:p>
    <w:p w14:paraId="335C0979" w14:textId="0BCB179B" w:rsidR="001D73FB" w:rsidRDefault="001D73FB" w:rsidP="00CB0E2E">
      <w:pPr>
        <w:spacing w:after="0" w:line="240" w:lineRule="auto"/>
        <w:jc w:val="both"/>
        <w:rPr>
          <w:rFonts w:ascii="Tahoma" w:hAnsi="Tahoma" w:cs="Tahoma"/>
          <w:b/>
          <w:bCs/>
          <w:sz w:val="24"/>
          <w:szCs w:val="24"/>
        </w:rPr>
      </w:pPr>
      <w:r>
        <w:rPr>
          <w:rFonts w:ascii="Tahoma" w:hAnsi="Tahoma" w:cs="Tahoma"/>
          <w:b/>
          <w:bCs/>
          <w:sz w:val="24"/>
          <w:szCs w:val="24"/>
        </w:rPr>
        <w:t>Results:</w:t>
      </w:r>
    </w:p>
    <w:p w14:paraId="09554651" w14:textId="228958D6" w:rsidR="00CB0E2E" w:rsidRDefault="00CB0E2E" w:rsidP="00CB0E2E">
      <w:pPr>
        <w:spacing w:after="0" w:line="240" w:lineRule="auto"/>
        <w:jc w:val="both"/>
        <w:rPr>
          <w:rFonts w:ascii="Tahoma" w:hAnsi="Tahoma" w:cs="Tahoma"/>
          <w:kern w:val="2"/>
          <w:sz w:val="24"/>
          <w:szCs w:val="24"/>
          <w14:ligatures w14:val="standardContextual"/>
        </w:rPr>
      </w:pPr>
      <w:r w:rsidRPr="0054332A">
        <w:rPr>
          <w:rFonts w:ascii="Tahoma" w:hAnsi="Tahoma" w:cs="Tahoma"/>
          <w:kern w:val="2"/>
          <w:sz w:val="24"/>
          <w:szCs w:val="24"/>
          <w14:ligatures w14:val="standardContextual"/>
        </w:rPr>
        <w:t>Objective 1: Thematic analysis of workshop data showed that while the barriers to research engagement were across all three domains of capability, opportunity and motivation, there were a large number of comments regarding psychological capability, highlighting a lack of awareness of research opportunities, a lack of research skills and a lack of research ideas. The social opportunity to engage in research also featured strongly, including a perceived lack of mentors and social support for research. Conversely, facilitators for engaging in research were mainly in the motivation domain, including having an impact on patient outcomes, professional satisfaction and career progression. These findings suggested that using the PRCoP to showcase pharmacy practice research, signpost to research training and demonstrate support and endorsement for research activity from senior leadership could address some of these barriers and support the identified facilitators. Objectives 2, 3 and 4: The in-person PRCoP launch event had 39 attendees, including 29 CTMUHB pharmacists and pharmacy technicians. Speakers signposted to local resources and demonstrated their support for research activity and connections were made between Cardiff Metropolitan University researchers and pharmacists. Participant feedback indicated they valued the opportunity to learn about research support within CTMUHB and network with peers and academic researchers</w:t>
      </w:r>
      <w:r>
        <w:rPr>
          <w:rFonts w:ascii="Tahoma" w:hAnsi="Tahoma" w:cs="Tahoma"/>
          <w:kern w:val="2"/>
          <w:sz w:val="24"/>
          <w:szCs w:val="24"/>
          <w14:ligatures w14:val="standardContextual"/>
        </w:rPr>
        <w:t>:</w:t>
      </w:r>
      <w:r w:rsidRPr="0054332A">
        <w:rPr>
          <w:rFonts w:ascii="Tahoma" w:hAnsi="Tahoma" w:cs="Tahoma"/>
          <w:kern w:val="2"/>
          <w:sz w:val="24"/>
          <w:szCs w:val="24"/>
          <w14:ligatures w14:val="standardContextual"/>
        </w:rPr>
        <w:t xml:space="preserve"> </w:t>
      </w:r>
      <w:r w:rsidRPr="00277E87">
        <w:rPr>
          <w:rFonts w:ascii="Tahoma" w:hAnsi="Tahoma" w:cs="Tahoma"/>
          <w:kern w:val="2"/>
          <w:sz w:val="24"/>
          <w:szCs w:val="24"/>
          <w14:ligatures w14:val="standardContextual"/>
        </w:rPr>
        <w:t xml:space="preserve">‘…opportunity to see people in ‘real life’ and understand the support that is available.’ </w:t>
      </w:r>
      <w:r w:rsidRPr="0054332A">
        <w:rPr>
          <w:rFonts w:ascii="Tahoma" w:hAnsi="Tahoma" w:cs="Tahoma"/>
          <w:kern w:val="2"/>
          <w:sz w:val="24"/>
          <w:szCs w:val="24"/>
          <w14:ligatures w14:val="standardContextual"/>
        </w:rPr>
        <w:t>Attendees also expressed a desire for future targeted learning opportunities facilitated through the PRCoP. The Journal Club was attended by 12 pharmacists from CTMUHB and Cardiff Metropolitan University. This smaller-scale event also provided networking opportunities, further enhancing peer support for research within CTMUHB. In response to feedback from the launch event, the Journal Club format provided topic-focused discussion and learning opportunities</w:t>
      </w:r>
      <w:r>
        <w:rPr>
          <w:rFonts w:ascii="Tahoma" w:hAnsi="Tahoma" w:cs="Tahoma"/>
          <w:kern w:val="2"/>
          <w:sz w:val="24"/>
          <w:szCs w:val="24"/>
          <w14:ligatures w14:val="standardContextual"/>
        </w:rPr>
        <w:t>.</w:t>
      </w:r>
    </w:p>
    <w:p w14:paraId="6EBCC50F" w14:textId="77777777" w:rsidR="00CB0E2E" w:rsidRPr="00CB0E2E" w:rsidRDefault="00CB0E2E" w:rsidP="00CB0E2E">
      <w:pPr>
        <w:spacing w:after="0" w:line="240" w:lineRule="auto"/>
        <w:jc w:val="both"/>
        <w:rPr>
          <w:rFonts w:ascii="Tahoma" w:hAnsi="Tahoma" w:cs="Tahoma"/>
          <w:b/>
          <w:bCs/>
          <w:sz w:val="16"/>
          <w:szCs w:val="16"/>
        </w:rPr>
      </w:pPr>
    </w:p>
    <w:p w14:paraId="79D016C6" w14:textId="1D00E374" w:rsidR="001D73FB" w:rsidRDefault="001D73FB" w:rsidP="00CB0E2E">
      <w:pPr>
        <w:spacing w:after="0" w:line="240" w:lineRule="auto"/>
        <w:jc w:val="both"/>
        <w:rPr>
          <w:rFonts w:ascii="Tahoma" w:hAnsi="Tahoma" w:cs="Tahoma"/>
          <w:b/>
          <w:bCs/>
          <w:sz w:val="24"/>
          <w:szCs w:val="24"/>
        </w:rPr>
      </w:pPr>
      <w:r>
        <w:rPr>
          <w:rFonts w:ascii="Tahoma" w:hAnsi="Tahoma" w:cs="Tahoma"/>
          <w:b/>
          <w:bCs/>
          <w:sz w:val="24"/>
          <w:szCs w:val="24"/>
        </w:rPr>
        <w:t>Conclusion:</w:t>
      </w:r>
    </w:p>
    <w:p w14:paraId="374B31A1" w14:textId="77777777" w:rsidR="00CB0E2E" w:rsidRPr="00EF3B98" w:rsidRDefault="00DD7273" w:rsidP="00CB0E2E">
      <w:pPr>
        <w:spacing w:line="240" w:lineRule="auto"/>
        <w:jc w:val="both"/>
        <w:rPr>
          <w:rFonts w:ascii="Tahoma" w:hAnsi="Tahoma" w:cs="Tahoma"/>
          <w:sz w:val="28"/>
          <w:szCs w:val="28"/>
        </w:rPr>
      </w:pPr>
      <w:sdt>
        <w:sdtPr>
          <w:rPr>
            <w:rFonts w:ascii="Tahoma" w:hAnsi="Tahoma" w:cs="Tahoma"/>
            <w:kern w:val="2"/>
            <w:sz w:val="24"/>
            <w:szCs w:val="24"/>
            <w14:ligatures w14:val="standardContextual"/>
          </w:rPr>
          <w:id w:val="1710290598"/>
          <w:placeholder>
            <w:docPart w:val="3D9446F6B3E7476C96BF0E7FCD636A06"/>
          </w:placeholder>
          <w:text/>
        </w:sdtPr>
        <w:sdtEndPr/>
        <w:sdtContent>
          <w:r w:rsidR="00CB0E2E" w:rsidRPr="0054332A">
            <w:rPr>
              <w:rFonts w:ascii="Tahoma" w:hAnsi="Tahoma" w:cs="Tahoma"/>
              <w:kern w:val="2"/>
              <w:sz w:val="24"/>
              <w:szCs w:val="24"/>
              <w14:ligatures w14:val="standardContextual"/>
            </w:rPr>
            <w:t xml:space="preserve">The Pharmacy Research Community of Practice was established in response to identified barriers and facilitators to research engagement within the CTMUHB hospital-based pharmacy workforce. The next steps will be to consolidate and build on the research peer support network within CTMUHB. As a related project, a wider exploration of interventions to support research engagement </w:t>
          </w:r>
          <w:r w:rsidR="00CB0E2E" w:rsidRPr="0054332A">
            <w:rPr>
              <w:rFonts w:ascii="Tahoma" w:hAnsi="Tahoma" w:cs="Tahoma"/>
              <w:kern w:val="2"/>
              <w:sz w:val="24"/>
              <w:szCs w:val="24"/>
              <w14:ligatures w14:val="standardContextual"/>
            </w:rPr>
            <w:lastRenderedPageBreak/>
            <w:t>and activity is ongoing. Longer-term plans will consider how the PRCoP could operationalise potential strategies and interventions to support the research capacity and capability of the pharmacy workforce across all sectors.</w:t>
          </w:r>
        </w:sdtContent>
      </w:sdt>
    </w:p>
    <w:p w14:paraId="71B2497C" w14:textId="77777777" w:rsidR="00CB0E2E" w:rsidRPr="00CB0E2E" w:rsidRDefault="00CB0E2E" w:rsidP="00CB0E2E">
      <w:pPr>
        <w:spacing w:line="240" w:lineRule="auto"/>
        <w:jc w:val="both"/>
        <w:rPr>
          <w:rFonts w:ascii="Tahoma" w:hAnsi="Tahoma" w:cs="Tahoma"/>
          <w:sz w:val="18"/>
          <w:szCs w:val="18"/>
        </w:rPr>
      </w:pPr>
      <w:r w:rsidRPr="00CB0E2E">
        <w:rPr>
          <w:rFonts w:ascii="Tahoma" w:hAnsi="Tahoma" w:cs="Tahoma"/>
          <w:sz w:val="18"/>
          <w:szCs w:val="18"/>
        </w:rPr>
        <w:t>References</w:t>
      </w:r>
    </w:p>
    <w:p w14:paraId="5FBA17A0" w14:textId="77777777" w:rsidR="00CB0E2E" w:rsidRPr="00CB0E2E" w:rsidRDefault="00CB0E2E" w:rsidP="00CB0E2E">
      <w:pPr>
        <w:widowControl w:val="0"/>
        <w:autoSpaceDE w:val="0"/>
        <w:autoSpaceDN w:val="0"/>
        <w:adjustRightInd w:val="0"/>
        <w:spacing w:after="0" w:line="240" w:lineRule="auto"/>
        <w:ind w:left="640" w:hanging="640"/>
        <w:jc w:val="both"/>
        <w:rPr>
          <w:rFonts w:ascii="Tahoma" w:hAnsi="Tahoma" w:cs="Tahoma"/>
          <w:noProof/>
          <w:sz w:val="18"/>
          <w:szCs w:val="18"/>
        </w:rPr>
      </w:pPr>
      <w:r w:rsidRPr="00CB0E2E">
        <w:rPr>
          <w:rFonts w:ascii="Aptos" w:hAnsi="Aptos" w:cs="Times New Roman"/>
          <w:noProof/>
          <w:sz w:val="18"/>
          <w:szCs w:val="18"/>
        </w:rPr>
        <w:t xml:space="preserve">1. </w:t>
      </w:r>
      <w:r w:rsidRPr="00CB0E2E">
        <w:rPr>
          <w:rFonts w:ascii="Aptos" w:hAnsi="Aptos" w:cs="Times New Roman"/>
          <w:noProof/>
          <w:sz w:val="18"/>
          <w:szCs w:val="18"/>
        </w:rPr>
        <w:tab/>
      </w:r>
      <w:r w:rsidRPr="00CB0E2E">
        <w:rPr>
          <w:rFonts w:ascii="Tahoma" w:hAnsi="Tahoma" w:cs="Tahoma"/>
          <w:noProof/>
          <w:sz w:val="18"/>
          <w:szCs w:val="18"/>
        </w:rPr>
        <w:t>NHS England. Report of a UK survey of pharmacy professionals’ involvement in research [Internet]. 2024 [cited 2024 Sep 24]. Available from: https://www.england.nhs.uk/long-read/report-of-a-uk-survey-of-pharmacy-professionals-involvement-in-research/</w:t>
      </w:r>
    </w:p>
    <w:p w14:paraId="01293F74" w14:textId="77777777" w:rsidR="00CB0E2E" w:rsidRPr="00CB0E2E" w:rsidRDefault="00CB0E2E" w:rsidP="00CB0E2E">
      <w:pPr>
        <w:widowControl w:val="0"/>
        <w:autoSpaceDE w:val="0"/>
        <w:autoSpaceDN w:val="0"/>
        <w:adjustRightInd w:val="0"/>
        <w:spacing w:after="0" w:line="240" w:lineRule="auto"/>
        <w:ind w:left="640" w:hanging="640"/>
        <w:jc w:val="both"/>
        <w:rPr>
          <w:rFonts w:ascii="Tahoma" w:hAnsi="Tahoma" w:cs="Tahoma"/>
          <w:noProof/>
          <w:sz w:val="18"/>
          <w:szCs w:val="18"/>
        </w:rPr>
      </w:pPr>
      <w:r w:rsidRPr="00CB0E2E">
        <w:rPr>
          <w:rFonts w:ascii="Tahoma" w:hAnsi="Tahoma" w:cs="Tahoma"/>
          <w:noProof/>
          <w:sz w:val="18"/>
          <w:szCs w:val="18"/>
        </w:rPr>
        <w:t xml:space="preserve">2. </w:t>
      </w:r>
      <w:r w:rsidRPr="00CB0E2E">
        <w:rPr>
          <w:rFonts w:ascii="Tahoma" w:hAnsi="Tahoma" w:cs="Tahoma"/>
          <w:noProof/>
          <w:sz w:val="18"/>
          <w:szCs w:val="18"/>
        </w:rPr>
        <w:tab/>
        <w:t xml:space="preserve">Lowrie R, Morrison G, Lees R, Grant CH, Johnson C, MacLean F, et al. Research is “a step into the unknown”: An exploration of pharmacists’ perceptions of factors impacting on research participation in the NHS. BMJ Open. 2015;5(12). </w:t>
      </w:r>
    </w:p>
    <w:p w14:paraId="2673EEF4" w14:textId="77777777" w:rsidR="00CB0E2E" w:rsidRPr="00CB0E2E" w:rsidRDefault="00CB0E2E" w:rsidP="00CB0E2E">
      <w:pPr>
        <w:widowControl w:val="0"/>
        <w:autoSpaceDE w:val="0"/>
        <w:autoSpaceDN w:val="0"/>
        <w:adjustRightInd w:val="0"/>
        <w:spacing w:after="0" w:line="240" w:lineRule="auto"/>
        <w:ind w:left="640" w:hanging="640"/>
        <w:jc w:val="both"/>
        <w:rPr>
          <w:rFonts w:ascii="Tahoma" w:hAnsi="Tahoma" w:cs="Tahoma"/>
          <w:noProof/>
          <w:sz w:val="18"/>
          <w:szCs w:val="18"/>
        </w:rPr>
      </w:pPr>
      <w:r w:rsidRPr="00CB0E2E">
        <w:rPr>
          <w:rFonts w:ascii="Tahoma" w:hAnsi="Tahoma" w:cs="Tahoma"/>
          <w:noProof/>
          <w:sz w:val="18"/>
          <w:szCs w:val="18"/>
        </w:rPr>
        <w:t xml:space="preserve">3. </w:t>
      </w:r>
      <w:r w:rsidRPr="00CB0E2E">
        <w:rPr>
          <w:rFonts w:ascii="Tahoma" w:hAnsi="Tahoma" w:cs="Tahoma"/>
          <w:noProof/>
          <w:sz w:val="18"/>
          <w:szCs w:val="18"/>
        </w:rPr>
        <w:tab/>
        <w:t>Royal Pharmaceutical Society. Advanced Pharmacy Framework (APF) | RPS [Internet]. 2013 [cited 2024 Jan 31]. Available from: https://www.rpharms.com/resources/frameworks/advanced-pharmacy-framework-apf</w:t>
      </w:r>
    </w:p>
    <w:p w14:paraId="48A2C7C1" w14:textId="77777777" w:rsidR="00CB0E2E" w:rsidRPr="00CB0E2E" w:rsidRDefault="00CB0E2E" w:rsidP="00CB0E2E">
      <w:pPr>
        <w:widowControl w:val="0"/>
        <w:autoSpaceDE w:val="0"/>
        <w:autoSpaceDN w:val="0"/>
        <w:adjustRightInd w:val="0"/>
        <w:spacing w:after="0" w:line="240" w:lineRule="auto"/>
        <w:ind w:left="640" w:hanging="640"/>
        <w:jc w:val="both"/>
        <w:rPr>
          <w:rFonts w:ascii="Tahoma" w:hAnsi="Tahoma" w:cs="Tahoma"/>
          <w:noProof/>
          <w:sz w:val="18"/>
          <w:szCs w:val="18"/>
        </w:rPr>
      </w:pPr>
      <w:r w:rsidRPr="00CB0E2E">
        <w:rPr>
          <w:rFonts w:ascii="Tahoma" w:hAnsi="Tahoma" w:cs="Tahoma"/>
          <w:noProof/>
          <w:sz w:val="18"/>
          <w:szCs w:val="18"/>
        </w:rPr>
        <w:t xml:space="preserve">4. </w:t>
      </w:r>
      <w:r w:rsidRPr="00CB0E2E">
        <w:rPr>
          <w:rFonts w:ascii="Tahoma" w:hAnsi="Tahoma" w:cs="Tahoma"/>
          <w:noProof/>
          <w:sz w:val="18"/>
          <w:szCs w:val="18"/>
        </w:rPr>
        <w:tab/>
        <w:t xml:space="preserve">Royal Pharmaceutical Society. Consultant Pharmacist Credentialing Candidate guidance. 2021. </w:t>
      </w:r>
    </w:p>
    <w:p w14:paraId="27D61689" w14:textId="77777777" w:rsidR="00CB0E2E" w:rsidRPr="00CB0E2E" w:rsidRDefault="00CB0E2E" w:rsidP="00CB0E2E">
      <w:pPr>
        <w:widowControl w:val="0"/>
        <w:autoSpaceDE w:val="0"/>
        <w:autoSpaceDN w:val="0"/>
        <w:adjustRightInd w:val="0"/>
        <w:spacing w:after="0" w:line="240" w:lineRule="auto"/>
        <w:ind w:left="640" w:hanging="640"/>
        <w:jc w:val="both"/>
        <w:rPr>
          <w:rFonts w:ascii="Tahoma" w:hAnsi="Tahoma" w:cs="Tahoma"/>
          <w:noProof/>
          <w:sz w:val="18"/>
          <w:szCs w:val="18"/>
        </w:rPr>
      </w:pPr>
      <w:r w:rsidRPr="00CB0E2E">
        <w:rPr>
          <w:rFonts w:ascii="Tahoma" w:hAnsi="Tahoma" w:cs="Tahoma"/>
          <w:noProof/>
          <w:sz w:val="18"/>
          <w:szCs w:val="18"/>
        </w:rPr>
        <w:t xml:space="preserve">5. </w:t>
      </w:r>
      <w:r w:rsidRPr="00CB0E2E">
        <w:rPr>
          <w:rFonts w:ascii="Tahoma" w:hAnsi="Tahoma" w:cs="Tahoma"/>
          <w:noProof/>
          <w:sz w:val="18"/>
          <w:szCs w:val="18"/>
        </w:rPr>
        <w:tab/>
        <w:t xml:space="preserve">Reali S, Lee T, Bishop J, Mirkov S, Johnson J, McCourt E, et al. Attitudes, barriers and facilitators of hospital pharmacists conducting practice-based research: a systematic review. J Pharm Pract Res. 2021 Jun 1;51(3):192–202. </w:t>
      </w:r>
    </w:p>
    <w:p w14:paraId="5B2B58A4" w14:textId="77777777" w:rsidR="00CB0E2E" w:rsidRPr="00CB0E2E" w:rsidRDefault="00CB0E2E" w:rsidP="00CB0E2E">
      <w:pPr>
        <w:widowControl w:val="0"/>
        <w:autoSpaceDE w:val="0"/>
        <w:autoSpaceDN w:val="0"/>
        <w:adjustRightInd w:val="0"/>
        <w:spacing w:after="0" w:line="240" w:lineRule="auto"/>
        <w:ind w:left="640" w:hanging="640"/>
        <w:jc w:val="both"/>
        <w:rPr>
          <w:rFonts w:ascii="Tahoma" w:hAnsi="Tahoma" w:cs="Tahoma"/>
          <w:noProof/>
          <w:sz w:val="18"/>
          <w:szCs w:val="18"/>
        </w:rPr>
      </w:pPr>
      <w:r w:rsidRPr="00CB0E2E">
        <w:rPr>
          <w:rFonts w:ascii="Tahoma" w:hAnsi="Tahoma" w:cs="Tahoma"/>
          <w:noProof/>
          <w:sz w:val="18"/>
          <w:szCs w:val="18"/>
        </w:rPr>
        <w:t xml:space="preserve">6. </w:t>
      </w:r>
      <w:r w:rsidRPr="00CB0E2E">
        <w:rPr>
          <w:rFonts w:ascii="Tahoma" w:hAnsi="Tahoma" w:cs="Tahoma"/>
          <w:noProof/>
          <w:sz w:val="18"/>
          <w:szCs w:val="18"/>
        </w:rPr>
        <w:tab/>
        <w:t xml:space="preserve">Michie S, van Stralen MM, West R. The behaviour change wheel: A new method for characterising and designing behaviour change interventions. Implement Sci. 2011;6(1):42. </w:t>
      </w:r>
    </w:p>
    <w:p w14:paraId="28F4615F" w14:textId="77777777" w:rsidR="00CB0E2E" w:rsidRPr="00CB0E2E" w:rsidRDefault="00CB0E2E" w:rsidP="00CB0E2E">
      <w:pPr>
        <w:widowControl w:val="0"/>
        <w:autoSpaceDE w:val="0"/>
        <w:autoSpaceDN w:val="0"/>
        <w:adjustRightInd w:val="0"/>
        <w:spacing w:after="0" w:line="240" w:lineRule="auto"/>
        <w:ind w:left="640" w:hanging="640"/>
        <w:jc w:val="both"/>
        <w:rPr>
          <w:rFonts w:ascii="Tahoma" w:hAnsi="Tahoma" w:cs="Tahoma"/>
          <w:noProof/>
          <w:sz w:val="18"/>
          <w:szCs w:val="18"/>
        </w:rPr>
      </w:pPr>
      <w:r w:rsidRPr="00CB0E2E">
        <w:rPr>
          <w:rFonts w:ascii="Tahoma" w:hAnsi="Tahoma" w:cs="Tahoma"/>
          <w:noProof/>
          <w:sz w:val="18"/>
          <w:szCs w:val="18"/>
        </w:rPr>
        <w:t xml:space="preserve">7. </w:t>
      </w:r>
      <w:r w:rsidRPr="00CB0E2E">
        <w:rPr>
          <w:rFonts w:ascii="Tahoma" w:hAnsi="Tahoma" w:cs="Tahoma"/>
          <w:noProof/>
          <w:sz w:val="18"/>
          <w:szCs w:val="18"/>
        </w:rPr>
        <w:tab/>
        <w:t xml:space="preserve">Peckham S, Zhang W, Eida T, Hashem F, Kendall S. Research engagement and research capacity building: a priority for healthcare organisations in the UK. J Health Organ Manag. 2023;37(3):343–59. </w:t>
      </w:r>
    </w:p>
    <w:p w14:paraId="42485287" w14:textId="7DFE1F65" w:rsidR="00CB0E2E" w:rsidRPr="00CB0E2E" w:rsidRDefault="00CB0E2E" w:rsidP="00CB0E2E">
      <w:pPr>
        <w:spacing w:line="240" w:lineRule="auto"/>
        <w:ind w:left="567" w:hanging="567"/>
        <w:jc w:val="both"/>
        <w:rPr>
          <w:rFonts w:ascii="Tahoma" w:hAnsi="Tahoma" w:cs="Tahoma"/>
          <w:sz w:val="18"/>
          <w:szCs w:val="18"/>
        </w:rPr>
      </w:pPr>
      <w:r w:rsidRPr="00CB0E2E">
        <w:rPr>
          <w:rFonts w:ascii="Tahoma" w:hAnsi="Tahoma" w:cs="Tahoma"/>
          <w:noProof/>
          <w:sz w:val="18"/>
          <w:szCs w:val="18"/>
        </w:rPr>
        <w:t xml:space="preserve">8. </w:t>
      </w:r>
      <w:r w:rsidRPr="00CB0E2E">
        <w:rPr>
          <w:rFonts w:ascii="Tahoma" w:hAnsi="Tahoma" w:cs="Tahoma"/>
          <w:noProof/>
          <w:sz w:val="18"/>
          <w:szCs w:val="18"/>
        </w:rPr>
        <w:tab/>
        <w:t xml:space="preserve">Gale NK, Heath G, Cameron E, Rashid S, Redwood S. Using the framework method for the analysis of qualitative data in </w:t>
      </w:r>
      <w:r>
        <w:rPr>
          <w:rFonts w:ascii="Tahoma" w:hAnsi="Tahoma" w:cs="Tahoma"/>
          <w:noProof/>
          <w:sz w:val="18"/>
          <w:szCs w:val="18"/>
        </w:rPr>
        <w:t xml:space="preserve">   </w:t>
      </w:r>
      <w:r w:rsidRPr="00CB0E2E">
        <w:rPr>
          <w:rFonts w:ascii="Tahoma" w:hAnsi="Tahoma" w:cs="Tahoma"/>
          <w:noProof/>
          <w:sz w:val="18"/>
          <w:szCs w:val="18"/>
        </w:rPr>
        <w:t>multi-disciplinary health research. BMC Med Res Methodol. 2013;13(1):117.</w:t>
      </w:r>
    </w:p>
    <w:p w14:paraId="6B92D6CA" w14:textId="77777777" w:rsidR="00CB0E2E" w:rsidRPr="00CB0E2E" w:rsidRDefault="00CB0E2E" w:rsidP="00CB0E2E">
      <w:pPr>
        <w:spacing w:line="240" w:lineRule="auto"/>
        <w:jc w:val="both"/>
        <w:rPr>
          <w:rFonts w:ascii="Tahoma" w:hAnsi="Tahoma" w:cs="Tahoma"/>
          <w:sz w:val="18"/>
          <w:szCs w:val="18"/>
        </w:rPr>
      </w:pPr>
    </w:p>
    <w:p w14:paraId="46229216" w14:textId="77777777" w:rsidR="00CB0E2E" w:rsidRDefault="00CB0E2E" w:rsidP="00CB0E2E">
      <w:pPr>
        <w:spacing w:after="0" w:line="240" w:lineRule="auto"/>
        <w:jc w:val="both"/>
        <w:rPr>
          <w:rFonts w:ascii="Tahoma" w:hAnsi="Tahoma" w:cs="Tahoma"/>
          <w:b/>
          <w:bCs/>
          <w:sz w:val="24"/>
          <w:szCs w:val="24"/>
        </w:rPr>
      </w:pPr>
    </w:p>
    <w:sectPr w:rsidR="00CB0E2E"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17655"/>
    <w:rsid w:val="001300DE"/>
    <w:rsid w:val="00194A45"/>
    <w:rsid w:val="001D73FB"/>
    <w:rsid w:val="00312351"/>
    <w:rsid w:val="003378B3"/>
    <w:rsid w:val="00400A84"/>
    <w:rsid w:val="0073698D"/>
    <w:rsid w:val="0084790E"/>
    <w:rsid w:val="00957516"/>
    <w:rsid w:val="00A70F30"/>
    <w:rsid w:val="00AC3303"/>
    <w:rsid w:val="00B87B85"/>
    <w:rsid w:val="00CB0E2E"/>
    <w:rsid w:val="00DB03CE"/>
    <w:rsid w:val="00DD7273"/>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5856AE88EEF41B2B473CAC38D540A48"/>
        <w:category>
          <w:name w:val="General"/>
          <w:gallery w:val="placeholder"/>
        </w:category>
        <w:types>
          <w:type w:val="bbPlcHdr"/>
        </w:types>
        <w:behaviors>
          <w:behavior w:val="content"/>
        </w:behaviors>
        <w:guid w:val="{3128977D-C2FB-478B-90B4-5A02D32CB5E2}"/>
      </w:docPartPr>
      <w:docPartBody>
        <w:p w:rsidR="00797199" w:rsidRDefault="00295B69" w:rsidP="00295B69">
          <w:pPr>
            <w:pStyle w:val="95856AE88EEF41B2B473CAC38D540A48"/>
          </w:pPr>
          <w:r w:rsidRPr="00810C78">
            <w:rPr>
              <w:rStyle w:val="PlaceholderText"/>
            </w:rPr>
            <w:t>Click or tap here to enter text.</w:t>
          </w:r>
        </w:p>
      </w:docPartBody>
    </w:docPart>
    <w:docPart>
      <w:docPartPr>
        <w:name w:val="7F9ADF4FA4FF4AFAAE1A84E645C9EC38"/>
        <w:category>
          <w:name w:val="General"/>
          <w:gallery w:val="placeholder"/>
        </w:category>
        <w:types>
          <w:type w:val="bbPlcHdr"/>
        </w:types>
        <w:behaviors>
          <w:behavior w:val="content"/>
        </w:behaviors>
        <w:guid w:val="{E6AF71A8-13E4-4EB9-8687-5499D68A3DE0}"/>
      </w:docPartPr>
      <w:docPartBody>
        <w:p w:rsidR="00797199" w:rsidRDefault="00295B69" w:rsidP="00295B69">
          <w:pPr>
            <w:pStyle w:val="7F9ADF4FA4FF4AFAAE1A84E645C9EC38"/>
          </w:pPr>
          <w:r w:rsidRPr="00810C78">
            <w:rPr>
              <w:rStyle w:val="PlaceholderText"/>
            </w:rPr>
            <w:t>Click or tap here to enter text.</w:t>
          </w:r>
        </w:p>
      </w:docPartBody>
    </w:docPart>
    <w:docPart>
      <w:docPartPr>
        <w:name w:val="9FDFC3A23FB74BC28823F54BAD3F7DF3"/>
        <w:category>
          <w:name w:val="General"/>
          <w:gallery w:val="placeholder"/>
        </w:category>
        <w:types>
          <w:type w:val="bbPlcHdr"/>
        </w:types>
        <w:behaviors>
          <w:behavior w:val="content"/>
        </w:behaviors>
        <w:guid w:val="{4A80AD2B-2B29-46BD-8E4D-E9AE01D216D7}"/>
      </w:docPartPr>
      <w:docPartBody>
        <w:p w:rsidR="00797199" w:rsidRDefault="00295B69" w:rsidP="00295B69">
          <w:pPr>
            <w:pStyle w:val="9FDFC3A23FB74BC28823F54BAD3F7DF3"/>
          </w:pPr>
          <w:r w:rsidRPr="00810C78">
            <w:rPr>
              <w:rStyle w:val="PlaceholderText"/>
            </w:rPr>
            <w:t>Click or tap here to enter text.</w:t>
          </w:r>
        </w:p>
      </w:docPartBody>
    </w:docPart>
    <w:docPart>
      <w:docPartPr>
        <w:name w:val="4D4B552CE99843B8A1C6B9D37FB46FAA"/>
        <w:category>
          <w:name w:val="General"/>
          <w:gallery w:val="placeholder"/>
        </w:category>
        <w:types>
          <w:type w:val="bbPlcHdr"/>
        </w:types>
        <w:behaviors>
          <w:behavior w:val="content"/>
        </w:behaviors>
        <w:guid w:val="{42F6B5F4-7BA7-4D00-8B15-E4B9A56D1B8B}"/>
      </w:docPartPr>
      <w:docPartBody>
        <w:p w:rsidR="00797199" w:rsidRDefault="00295B69" w:rsidP="00295B69">
          <w:pPr>
            <w:pStyle w:val="4D4B552CE99843B8A1C6B9D37FB46FAA"/>
          </w:pPr>
          <w:r w:rsidRPr="00810C78">
            <w:rPr>
              <w:rStyle w:val="PlaceholderText"/>
            </w:rPr>
            <w:t>Click or tap here to enter text.</w:t>
          </w:r>
        </w:p>
      </w:docPartBody>
    </w:docPart>
    <w:docPart>
      <w:docPartPr>
        <w:name w:val="3D9446F6B3E7476C96BF0E7FCD636A06"/>
        <w:category>
          <w:name w:val="General"/>
          <w:gallery w:val="placeholder"/>
        </w:category>
        <w:types>
          <w:type w:val="bbPlcHdr"/>
        </w:types>
        <w:behaviors>
          <w:behavior w:val="content"/>
        </w:behaviors>
        <w:guid w:val="{786571D0-F038-4C80-A7C8-C258682ED622}"/>
      </w:docPartPr>
      <w:docPartBody>
        <w:p w:rsidR="00797199" w:rsidRDefault="00295B69" w:rsidP="00295B69">
          <w:pPr>
            <w:pStyle w:val="3D9446F6B3E7476C96BF0E7FCD636A06"/>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B69"/>
    <w:rsid w:val="00295B69"/>
    <w:rsid w:val="007971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95B69"/>
    <w:rPr>
      <w:color w:val="808080"/>
    </w:rPr>
  </w:style>
  <w:style w:type="paragraph" w:customStyle="1" w:styleId="95856AE88EEF41B2B473CAC38D540A48">
    <w:name w:val="95856AE88EEF41B2B473CAC38D540A48"/>
    <w:rsid w:val="00295B69"/>
  </w:style>
  <w:style w:type="paragraph" w:customStyle="1" w:styleId="7F9ADF4FA4FF4AFAAE1A84E645C9EC38">
    <w:name w:val="7F9ADF4FA4FF4AFAAE1A84E645C9EC38"/>
    <w:rsid w:val="00295B69"/>
  </w:style>
  <w:style w:type="paragraph" w:customStyle="1" w:styleId="9FDFC3A23FB74BC28823F54BAD3F7DF3">
    <w:name w:val="9FDFC3A23FB74BC28823F54BAD3F7DF3"/>
    <w:rsid w:val="00295B69"/>
  </w:style>
  <w:style w:type="paragraph" w:customStyle="1" w:styleId="4D4B552CE99843B8A1C6B9D37FB46FAA">
    <w:name w:val="4D4B552CE99843B8A1C6B9D37FB46FAA"/>
    <w:rsid w:val="00295B69"/>
  </w:style>
  <w:style w:type="paragraph" w:customStyle="1" w:styleId="3D9446F6B3E7476C96BF0E7FCD636A06">
    <w:name w:val="3D9446F6B3E7476C96BF0E7FCD636A06"/>
    <w:rsid w:val="00295B6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1441</Words>
  <Characters>8216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2024-11-12T16:05:00Z</dcterms:created>
  <dcterms:modified xsi:type="dcterms:W3CDTF">2024-11-22T09:37:00Z</dcterms:modified>
</cp:coreProperties>
</file>