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5167F7BA"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692BDF">
        <w:rPr>
          <w:rFonts w:ascii="Tahoma" w:hAnsi="Tahoma" w:cs="Tahoma"/>
          <w:b/>
          <w:bCs/>
          <w:noProof/>
          <w:color w:val="32598A"/>
          <w:sz w:val="28"/>
          <w:szCs w:val="28"/>
        </w:rPr>
        <w:t xml:space="preserve"> 38</w:t>
      </w:r>
    </w:p>
    <w:p w14:paraId="2F536B99" w14:textId="28520615" w:rsidR="0002303A" w:rsidRDefault="0002303A" w:rsidP="00E0156E">
      <w:pPr>
        <w:spacing w:after="0"/>
        <w:rPr>
          <w:rFonts w:ascii="Tahoma" w:hAnsi="Tahoma" w:cs="Tahoma"/>
          <w:noProof/>
          <w:sz w:val="24"/>
          <w:szCs w:val="24"/>
        </w:rPr>
      </w:pPr>
      <w:r>
        <w:rPr>
          <w:rFonts w:ascii="Tahoma" w:hAnsi="Tahoma" w:cs="Tahoma"/>
          <w:noProof/>
          <w:sz w:val="24"/>
          <w:szCs w:val="24"/>
        </w:rPr>
        <w:t>Taking a Population Health Management Approach to the Management of Patients with Chronic Obstructive Pulmonary Disease in the North Cynon Primary Care Cluster.</w:t>
      </w:r>
    </w:p>
    <w:p w14:paraId="6DC01A5C" w14:textId="77777777" w:rsidR="0002303A" w:rsidRPr="0002303A" w:rsidRDefault="0002303A" w:rsidP="00E0156E">
      <w:pPr>
        <w:spacing w:after="0"/>
        <w:rPr>
          <w:rFonts w:ascii="Tahoma" w:hAnsi="Tahoma" w:cs="Tahoma"/>
          <w:b/>
          <w:bCs/>
          <w:noProof/>
          <w:color w:val="32598A"/>
          <w:sz w:val="16"/>
          <w:szCs w:val="16"/>
        </w:rPr>
      </w:pPr>
    </w:p>
    <w:p w14:paraId="5CFA3287" w14:textId="7B9A9B45"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02303A">
        <w:rPr>
          <w:rFonts w:ascii="Tahoma" w:hAnsi="Tahoma" w:cs="Tahoma"/>
          <w:noProof/>
          <w:sz w:val="24"/>
          <w:szCs w:val="24"/>
        </w:rPr>
        <w:t>Roberts, S., Slyne, C.</w:t>
      </w:r>
    </w:p>
    <w:p w14:paraId="0EF06F1D" w14:textId="3747219E"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02303A">
        <w:rPr>
          <w:rFonts w:ascii="Tahoma" w:hAnsi="Tahoma" w:cs="Tahoma"/>
          <w:b/>
          <w:bCs/>
          <w:noProof/>
          <w:color w:val="32598A"/>
          <w:sz w:val="28"/>
          <w:szCs w:val="28"/>
        </w:rPr>
        <w:t xml:space="preserve"> </w:t>
      </w:r>
      <w:r w:rsidR="0002303A" w:rsidRPr="0002303A">
        <w:rPr>
          <w:rFonts w:ascii="Tahoma" w:hAnsi="Tahoma" w:cs="Tahoma"/>
          <w:noProof/>
          <w:sz w:val="24"/>
          <w:szCs w:val="24"/>
        </w:rPr>
        <w:t>Public Health,</w:t>
      </w:r>
      <w:r w:rsidR="0002303A">
        <w:rPr>
          <w:rFonts w:ascii="Tahoma" w:hAnsi="Tahoma" w:cs="Tahoma"/>
          <w:noProof/>
          <w:sz w:val="24"/>
          <w:szCs w:val="24"/>
        </w:rPr>
        <w:t xml:space="preserve"> Cwm Taf Morgannwg University Health Board</w:t>
      </w:r>
      <w:r w:rsidR="005F6A0C">
        <w:rPr>
          <w:rFonts w:ascii="Tahoma" w:hAnsi="Tahoma" w:cs="Tahoma"/>
          <w:noProof/>
          <w:sz w:val="24"/>
          <w:szCs w:val="24"/>
        </w:rPr>
        <w:t>.</w:t>
      </w:r>
    </w:p>
    <w:p w14:paraId="5C2DF48A" w14:textId="77777777" w:rsidR="001D73FB" w:rsidRPr="00101A21" w:rsidRDefault="001D73FB" w:rsidP="001D73FB">
      <w:pPr>
        <w:shd w:val="clear" w:color="auto" w:fill="32598A"/>
        <w:rPr>
          <w:color w:val="0066CC"/>
        </w:rPr>
      </w:pPr>
    </w:p>
    <w:p w14:paraId="538FA88B" w14:textId="419136DB" w:rsidR="00400A84" w:rsidRDefault="001D73FB" w:rsidP="005F6A0C">
      <w:pPr>
        <w:spacing w:after="0" w:line="240" w:lineRule="auto"/>
        <w:ind w:right="142"/>
        <w:jc w:val="both"/>
        <w:rPr>
          <w:rFonts w:ascii="Tahoma" w:hAnsi="Tahoma" w:cs="Tahoma"/>
          <w:b/>
          <w:bCs/>
          <w:sz w:val="24"/>
          <w:szCs w:val="24"/>
        </w:rPr>
      </w:pPr>
      <w:r>
        <w:rPr>
          <w:rFonts w:ascii="Tahoma" w:hAnsi="Tahoma" w:cs="Tahoma"/>
          <w:b/>
          <w:bCs/>
          <w:sz w:val="24"/>
          <w:szCs w:val="24"/>
        </w:rPr>
        <w:t>Introduction:</w:t>
      </w:r>
    </w:p>
    <w:p w14:paraId="7AF24918" w14:textId="06E717DA" w:rsidR="0002303A" w:rsidRDefault="0002303A" w:rsidP="005F6A0C">
      <w:pPr>
        <w:spacing w:line="240" w:lineRule="auto"/>
        <w:ind w:right="142"/>
        <w:jc w:val="both"/>
        <w:rPr>
          <w:rFonts w:ascii="Tahoma" w:hAnsi="Tahoma" w:cs="Tahoma"/>
          <w:b/>
          <w:bCs/>
          <w:sz w:val="24"/>
          <w:szCs w:val="24"/>
        </w:rPr>
      </w:pPr>
      <w:r w:rsidRPr="00EF33C0">
        <w:rPr>
          <w:rFonts w:ascii="Tahoma" w:hAnsi="Tahoma" w:cs="Tahoma"/>
          <w:noProof/>
          <w:sz w:val="24"/>
          <w:szCs w:val="24"/>
        </w:rPr>
        <w:t xml:space="preserve">Population Health Management (PHM) can support with understanding patient populations, their need and use of health care resources to improve population health. The North Cynon General Practice (GP) area, has a population size of 31,755 people with 3% of the population living with a COPD diagnosis (PHM Unit, 2023). With the known risk factors for a COPD exacerbation including deprivation, smoking, cold weather, respiratory tract infections and low influenza uptake; this project sought to use a PHM approach to identify and support those most at risk of winter exacerbation of COPD, testing the feasibility and acceptability of doing so.   </w:t>
      </w:r>
    </w:p>
    <w:p w14:paraId="7348F163" w14:textId="2D73BB47" w:rsidR="001D73FB" w:rsidRDefault="001D73FB" w:rsidP="005F6A0C">
      <w:pPr>
        <w:spacing w:after="0" w:line="240" w:lineRule="auto"/>
        <w:ind w:right="142"/>
        <w:jc w:val="both"/>
        <w:rPr>
          <w:rFonts w:ascii="Tahoma" w:hAnsi="Tahoma" w:cs="Tahoma"/>
          <w:b/>
          <w:bCs/>
          <w:sz w:val="24"/>
          <w:szCs w:val="24"/>
        </w:rPr>
      </w:pPr>
      <w:r>
        <w:rPr>
          <w:rFonts w:ascii="Tahoma" w:hAnsi="Tahoma" w:cs="Tahoma"/>
          <w:b/>
          <w:bCs/>
          <w:sz w:val="24"/>
          <w:szCs w:val="24"/>
        </w:rPr>
        <w:t>Aim:</w:t>
      </w:r>
    </w:p>
    <w:p w14:paraId="4BE46537" w14:textId="0292E36E" w:rsidR="0002303A" w:rsidRDefault="0002303A" w:rsidP="005F6A0C">
      <w:pPr>
        <w:spacing w:after="0" w:line="240" w:lineRule="auto"/>
        <w:ind w:right="142"/>
        <w:jc w:val="both"/>
        <w:rPr>
          <w:rFonts w:ascii="Tahoma" w:hAnsi="Tahoma" w:cs="Tahoma"/>
          <w:noProof/>
          <w:sz w:val="24"/>
          <w:szCs w:val="24"/>
        </w:rPr>
      </w:pPr>
      <w:r w:rsidRPr="00EF33C0">
        <w:rPr>
          <w:rFonts w:ascii="Tahoma" w:hAnsi="Tahoma" w:cs="Tahoma"/>
          <w:noProof/>
          <w:sz w:val="24"/>
          <w:szCs w:val="24"/>
        </w:rPr>
        <w:t>This research project will seek to understand the feasibility and acceptability of applying population health management (PHM) approaches, namely segmentation and risk stratification to identify patients for intervention using known COPD risk factors.</w:t>
      </w:r>
    </w:p>
    <w:p w14:paraId="582B9F3E" w14:textId="77777777" w:rsidR="0002303A" w:rsidRPr="0002303A" w:rsidRDefault="0002303A" w:rsidP="005F6A0C">
      <w:pPr>
        <w:spacing w:after="0" w:line="240" w:lineRule="auto"/>
        <w:ind w:right="142"/>
        <w:jc w:val="both"/>
        <w:rPr>
          <w:rFonts w:ascii="Tahoma" w:hAnsi="Tahoma" w:cs="Tahoma"/>
          <w:b/>
          <w:bCs/>
          <w:sz w:val="16"/>
          <w:szCs w:val="16"/>
        </w:rPr>
      </w:pPr>
    </w:p>
    <w:p w14:paraId="4F0C03D1" w14:textId="104C5553" w:rsidR="001D73FB" w:rsidRDefault="001D73FB" w:rsidP="005F6A0C">
      <w:pPr>
        <w:spacing w:after="0" w:line="240" w:lineRule="auto"/>
        <w:ind w:right="142"/>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4D234C4F" w:rsidR="00312351" w:rsidRDefault="0002303A" w:rsidP="005F6A0C">
      <w:pPr>
        <w:spacing w:after="0" w:line="240" w:lineRule="auto"/>
        <w:ind w:right="142"/>
        <w:jc w:val="both"/>
        <w:rPr>
          <w:rFonts w:ascii="Tahoma" w:hAnsi="Tahoma" w:cs="Tahoma"/>
          <w:noProof/>
          <w:sz w:val="24"/>
          <w:szCs w:val="24"/>
        </w:rPr>
      </w:pPr>
      <w:r w:rsidRPr="00E912D4">
        <w:rPr>
          <w:rFonts w:ascii="Tahoma" w:hAnsi="Tahoma" w:cs="Tahoma"/>
          <w:noProof/>
          <w:sz w:val="24"/>
          <w:szCs w:val="24"/>
        </w:rPr>
        <w:t xml:space="preserve">This </w:t>
      </w:r>
      <w:r>
        <w:rPr>
          <w:rFonts w:ascii="Tahoma" w:hAnsi="Tahoma" w:cs="Tahoma"/>
          <w:noProof/>
          <w:sz w:val="24"/>
          <w:szCs w:val="24"/>
        </w:rPr>
        <w:t>study was</w:t>
      </w:r>
      <w:r w:rsidRPr="00E912D4">
        <w:rPr>
          <w:rFonts w:ascii="Tahoma" w:hAnsi="Tahoma" w:cs="Tahoma"/>
          <w:noProof/>
          <w:sz w:val="24"/>
          <w:szCs w:val="24"/>
        </w:rPr>
        <w:t xml:space="preserve"> an empirical project,  an evaluation of a project that run from December 2023 until March 2024, following the RE-AIM framework (Glasgow et al, 1999). The  study </w:t>
      </w:r>
      <w:r>
        <w:rPr>
          <w:rFonts w:ascii="Tahoma" w:hAnsi="Tahoma" w:cs="Tahoma"/>
          <w:noProof/>
          <w:sz w:val="24"/>
          <w:szCs w:val="24"/>
        </w:rPr>
        <w:t xml:space="preserve">was </w:t>
      </w:r>
      <w:r w:rsidRPr="00E912D4">
        <w:rPr>
          <w:rFonts w:ascii="Tahoma" w:hAnsi="Tahoma" w:cs="Tahoma"/>
          <w:noProof/>
          <w:sz w:val="24"/>
          <w:szCs w:val="24"/>
        </w:rPr>
        <w:t>a mixed method study including the collection of both qualitative and quantitative data</w:t>
      </w:r>
      <w:r>
        <w:rPr>
          <w:rFonts w:ascii="Tahoma" w:hAnsi="Tahoma" w:cs="Tahoma"/>
          <w:noProof/>
          <w:sz w:val="24"/>
          <w:szCs w:val="24"/>
        </w:rPr>
        <w:t xml:space="preserve"> from 256 patients and 6 project team</w:t>
      </w:r>
      <w:r w:rsidRPr="00E912D4">
        <w:rPr>
          <w:rFonts w:ascii="Tahoma" w:hAnsi="Tahoma" w:cs="Tahoma"/>
          <w:noProof/>
          <w:sz w:val="24"/>
          <w:szCs w:val="24"/>
        </w:rPr>
        <w:t xml:space="preserve">.  </w:t>
      </w:r>
    </w:p>
    <w:p w14:paraId="5E33609E" w14:textId="77777777" w:rsidR="0002303A" w:rsidRPr="0002303A" w:rsidRDefault="0002303A" w:rsidP="005F6A0C">
      <w:pPr>
        <w:spacing w:after="0" w:line="240" w:lineRule="auto"/>
        <w:ind w:right="142"/>
        <w:jc w:val="both"/>
        <w:rPr>
          <w:rFonts w:ascii="Tahoma" w:hAnsi="Tahoma" w:cs="Tahoma"/>
          <w:sz w:val="16"/>
          <w:szCs w:val="16"/>
        </w:rPr>
      </w:pPr>
    </w:p>
    <w:p w14:paraId="335C0979" w14:textId="740E7924" w:rsidR="001D73FB" w:rsidRDefault="001D73FB" w:rsidP="005F6A0C">
      <w:pPr>
        <w:spacing w:after="0" w:line="240" w:lineRule="auto"/>
        <w:ind w:right="142"/>
        <w:jc w:val="both"/>
        <w:rPr>
          <w:rFonts w:ascii="Tahoma" w:hAnsi="Tahoma" w:cs="Tahoma"/>
          <w:b/>
          <w:bCs/>
          <w:sz w:val="24"/>
          <w:szCs w:val="24"/>
        </w:rPr>
      </w:pPr>
      <w:r>
        <w:rPr>
          <w:rFonts w:ascii="Tahoma" w:hAnsi="Tahoma" w:cs="Tahoma"/>
          <w:b/>
          <w:bCs/>
          <w:sz w:val="24"/>
          <w:szCs w:val="24"/>
        </w:rPr>
        <w:t>Results:</w:t>
      </w:r>
    </w:p>
    <w:p w14:paraId="497186EA" w14:textId="77777777" w:rsidR="0002303A" w:rsidRDefault="0002303A" w:rsidP="005F6A0C">
      <w:pPr>
        <w:spacing w:after="0" w:line="240" w:lineRule="auto"/>
        <w:ind w:right="142"/>
        <w:jc w:val="both"/>
        <w:rPr>
          <w:rFonts w:ascii="Tahoma" w:hAnsi="Tahoma" w:cs="Tahoma"/>
          <w:noProof/>
          <w:sz w:val="24"/>
          <w:szCs w:val="24"/>
        </w:rPr>
      </w:pPr>
      <w:r>
        <w:rPr>
          <w:rFonts w:ascii="Tahoma" w:hAnsi="Tahoma" w:cs="Tahoma"/>
          <w:sz w:val="24"/>
          <w:szCs w:val="24"/>
        </w:rPr>
        <w:t xml:space="preserve">Early qualitative analysis has shown that </w:t>
      </w:r>
      <w:r w:rsidRPr="0021544A">
        <w:rPr>
          <w:rFonts w:ascii="Tahoma" w:hAnsi="Tahoma" w:cs="Tahoma"/>
          <w:noProof/>
          <w:sz w:val="24"/>
          <w:szCs w:val="24"/>
        </w:rPr>
        <w:t>256 patients successfully contacted from 314 attempted patient contacts. Of the 256 patients, 176 (68.8%) were referred/given two or more secondary interventions e.g. COPD app, help me quit, flu jab, pulmonary rehab, rescue pack. A higher proportion of patients from segments 4 and 9 received two or more interventions.</w:t>
      </w:r>
      <w:r>
        <w:rPr>
          <w:rFonts w:ascii="Tahoma" w:hAnsi="Tahoma" w:cs="Tahoma"/>
          <w:noProof/>
          <w:sz w:val="24"/>
          <w:szCs w:val="24"/>
        </w:rPr>
        <w:t xml:space="preserve"> Early quantative analysis has shown that the patients found the proactive intervention useful and it helped them stay well over the winter.</w:t>
      </w:r>
    </w:p>
    <w:p w14:paraId="6A4A61EC" w14:textId="588A371F" w:rsidR="0002303A" w:rsidRDefault="0002303A" w:rsidP="005F6A0C">
      <w:pPr>
        <w:spacing w:after="0" w:line="240" w:lineRule="auto"/>
        <w:ind w:right="142"/>
        <w:jc w:val="both"/>
        <w:rPr>
          <w:rFonts w:ascii="Tahoma" w:hAnsi="Tahoma" w:cs="Tahoma"/>
          <w:noProof/>
          <w:sz w:val="24"/>
          <w:szCs w:val="24"/>
        </w:rPr>
      </w:pPr>
      <w:r>
        <w:rPr>
          <w:rFonts w:ascii="Tahoma" w:hAnsi="Tahoma" w:cs="Tahoma"/>
          <w:noProof/>
          <w:sz w:val="24"/>
          <w:szCs w:val="24"/>
        </w:rPr>
        <w:t xml:space="preserve">These early result indictate that the team were successful in developing a cohort that could be identifed and proactively contacted ahead of winter in order to help patients stay well. </w:t>
      </w:r>
      <w:r w:rsidRPr="0021544A">
        <w:rPr>
          <w:rFonts w:ascii="Tahoma" w:hAnsi="Tahoma" w:cs="Tahoma"/>
          <w:noProof/>
          <w:sz w:val="24"/>
          <w:szCs w:val="24"/>
        </w:rPr>
        <w:t xml:space="preserve"> </w:t>
      </w:r>
    </w:p>
    <w:p w14:paraId="133973A0" w14:textId="77777777" w:rsidR="0002303A" w:rsidRPr="0002303A" w:rsidRDefault="0002303A" w:rsidP="005F6A0C">
      <w:pPr>
        <w:spacing w:after="0" w:line="240" w:lineRule="auto"/>
        <w:ind w:right="142"/>
        <w:jc w:val="both"/>
        <w:rPr>
          <w:rFonts w:ascii="Tahoma" w:hAnsi="Tahoma" w:cs="Tahoma"/>
          <w:b/>
          <w:bCs/>
          <w:sz w:val="16"/>
          <w:szCs w:val="16"/>
        </w:rPr>
      </w:pPr>
    </w:p>
    <w:p w14:paraId="79D016C6" w14:textId="1E158802" w:rsidR="001D73FB" w:rsidRDefault="001D73FB" w:rsidP="005F6A0C">
      <w:pPr>
        <w:spacing w:after="0" w:line="240" w:lineRule="auto"/>
        <w:ind w:right="142"/>
        <w:jc w:val="both"/>
        <w:rPr>
          <w:rFonts w:ascii="Tahoma" w:hAnsi="Tahoma" w:cs="Tahoma"/>
          <w:b/>
          <w:bCs/>
          <w:sz w:val="24"/>
          <w:szCs w:val="24"/>
        </w:rPr>
      </w:pPr>
      <w:r>
        <w:rPr>
          <w:rFonts w:ascii="Tahoma" w:hAnsi="Tahoma" w:cs="Tahoma"/>
          <w:b/>
          <w:bCs/>
          <w:sz w:val="24"/>
          <w:szCs w:val="24"/>
        </w:rPr>
        <w:t>Conclusion:</w:t>
      </w:r>
    </w:p>
    <w:p w14:paraId="3B0F881F" w14:textId="56BC5AFE" w:rsidR="0002303A" w:rsidRDefault="0002303A" w:rsidP="005F6A0C">
      <w:pPr>
        <w:spacing w:after="0" w:line="240" w:lineRule="auto"/>
        <w:ind w:right="142"/>
        <w:jc w:val="both"/>
        <w:rPr>
          <w:rFonts w:ascii="Tahoma" w:hAnsi="Tahoma" w:cs="Tahoma"/>
          <w:b/>
          <w:bCs/>
          <w:sz w:val="24"/>
          <w:szCs w:val="24"/>
        </w:rPr>
      </w:pPr>
      <w:r>
        <w:rPr>
          <w:rFonts w:ascii="Tahoma" w:hAnsi="Tahoma" w:cs="Tahoma"/>
          <w:sz w:val="24"/>
          <w:szCs w:val="24"/>
        </w:rPr>
        <w:t xml:space="preserve">Population Segmentation data was used successfully to identify patients who would benefit from an additional COPD check to aid wellbeing during the winter period. </w:t>
      </w:r>
      <w:r>
        <w:rPr>
          <w:rFonts w:ascii="Tahoma" w:hAnsi="Tahoma" w:cs="Tahoma"/>
          <w:noProof/>
          <w:sz w:val="24"/>
          <w:szCs w:val="24"/>
        </w:rPr>
        <w:t>Learning from this project is currently being used to roll out similar appraoaches across other cluster areas to aid patients living with COPD stay well over the upcoming winter period.</w:t>
      </w:r>
    </w:p>
    <w:sectPr w:rsidR="0002303A"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2303A"/>
    <w:rsid w:val="001300DE"/>
    <w:rsid w:val="001336AB"/>
    <w:rsid w:val="00194A45"/>
    <w:rsid w:val="001D73FB"/>
    <w:rsid w:val="00312351"/>
    <w:rsid w:val="003378B3"/>
    <w:rsid w:val="00400A84"/>
    <w:rsid w:val="005F6A0C"/>
    <w:rsid w:val="00692BDF"/>
    <w:rsid w:val="0073698D"/>
    <w:rsid w:val="0084790E"/>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393</Words>
  <Characters>2241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5</cp:revision>
  <dcterms:created xsi:type="dcterms:W3CDTF">2024-11-08T13:08:00Z</dcterms:created>
  <dcterms:modified xsi:type="dcterms:W3CDTF">2024-11-22T09:36:00Z</dcterms:modified>
</cp:coreProperties>
</file>