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1B6C6454" w:rsidR="003378B3" w:rsidRDefault="003378B3" w:rsidP="00E0156E">
      <w:pPr>
        <w:spacing w:after="0"/>
        <w:rPr>
          <w:rFonts w:ascii="Tahoma" w:hAnsi="Tahoma" w:cs="Tahoma"/>
          <w:b/>
          <w:bCs/>
          <w:noProof/>
          <w:color w:val="32598A"/>
          <w:sz w:val="28"/>
          <w:szCs w:val="28"/>
        </w:rPr>
      </w:pPr>
      <w:r>
        <w:rPr>
          <w:rFonts w:ascii="Tahoma" w:hAnsi="Tahoma" w:cs="Tahoma"/>
          <w:b/>
          <w:bCs/>
          <w:noProof/>
          <w:color w:val="32598A"/>
          <w:sz w:val="28"/>
          <w:szCs w:val="28"/>
        </w:rPr>
        <w:t>POSTER PRESENTATION :</w:t>
      </w:r>
      <w:r w:rsidR="00473371">
        <w:rPr>
          <w:rFonts w:ascii="Tahoma" w:hAnsi="Tahoma" w:cs="Tahoma"/>
          <w:b/>
          <w:bCs/>
          <w:noProof/>
          <w:color w:val="32598A"/>
          <w:sz w:val="28"/>
          <w:szCs w:val="28"/>
        </w:rPr>
        <w:t xml:space="preserve"> 35</w:t>
      </w:r>
    </w:p>
    <w:p w14:paraId="5D13559C" w14:textId="36C8B5F1" w:rsidR="00C72EDD" w:rsidRDefault="00C72EDD" w:rsidP="00E0156E">
      <w:pPr>
        <w:spacing w:after="0"/>
        <w:rPr>
          <w:rFonts w:ascii="Tahoma" w:hAnsi="Tahoma" w:cs="Tahoma"/>
          <w:noProof/>
          <w:sz w:val="24"/>
          <w:szCs w:val="24"/>
        </w:rPr>
      </w:pPr>
      <w:r w:rsidRPr="00893EDA">
        <w:rPr>
          <w:rFonts w:ascii="Tahoma" w:hAnsi="Tahoma" w:cs="Tahoma"/>
          <w:noProof/>
          <w:sz w:val="24"/>
          <w:szCs w:val="24"/>
        </w:rPr>
        <w:t xml:space="preserve">Evaluating the </w:t>
      </w:r>
      <w:r w:rsidR="00473371">
        <w:rPr>
          <w:rFonts w:ascii="Tahoma" w:hAnsi="Tahoma" w:cs="Tahoma"/>
          <w:noProof/>
          <w:sz w:val="24"/>
          <w:szCs w:val="24"/>
        </w:rPr>
        <w:t>Q</w:t>
      </w:r>
      <w:r w:rsidRPr="00893EDA">
        <w:rPr>
          <w:rFonts w:ascii="Tahoma" w:hAnsi="Tahoma" w:cs="Tahoma"/>
          <w:noProof/>
          <w:sz w:val="24"/>
          <w:szCs w:val="24"/>
        </w:rPr>
        <w:t xml:space="preserve">uality of </w:t>
      </w:r>
      <w:r w:rsidR="00473371">
        <w:rPr>
          <w:rFonts w:ascii="Tahoma" w:hAnsi="Tahoma" w:cs="Tahoma"/>
          <w:noProof/>
          <w:sz w:val="24"/>
          <w:szCs w:val="24"/>
        </w:rPr>
        <w:t>A</w:t>
      </w:r>
      <w:r w:rsidRPr="00893EDA">
        <w:rPr>
          <w:rFonts w:ascii="Tahoma" w:hAnsi="Tahoma" w:cs="Tahoma"/>
          <w:noProof/>
          <w:sz w:val="24"/>
          <w:szCs w:val="24"/>
        </w:rPr>
        <w:t xml:space="preserve">ssessment of </w:t>
      </w:r>
      <w:r w:rsidR="00473371">
        <w:rPr>
          <w:rFonts w:ascii="Tahoma" w:hAnsi="Tahoma" w:cs="Tahoma"/>
          <w:noProof/>
          <w:sz w:val="24"/>
          <w:szCs w:val="24"/>
        </w:rPr>
        <w:t>P</w:t>
      </w:r>
      <w:r w:rsidRPr="00893EDA">
        <w:rPr>
          <w:rFonts w:ascii="Tahoma" w:hAnsi="Tahoma" w:cs="Tahoma"/>
          <w:noProof/>
          <w:sz w:val="24"/>
          <w:szCs w:val="24"/>
        </w:rPr>
        <w:t xml:space="preserve">atients with Barrett’s </w:t>
      </w:r>
      <w:r w:rsidR="00473371">
        <w:rPr>
          <w:rFonts w:ascii="Tahoma" w:hAnsi="Tahoma" w:cs="Tahoma"/>
          <w:noProof/>
          <w:sz w:val="24"/>
          <w:szCs w:val="24"/>
        </w:rPr>
        <w:t>S</w:t>
      </w:r>
      <w:r w:rsidRPr="00893EDA">
        <w:rPr>
          <w:rFonts w:ascii="Tahoma" w:hAnsi="Tahoma" w:cs="Tahoma"/>
          <w:noProof/>
          <w:sz w:val="24"/>
          <w:szCs w:val="24"/>
        </w:rPr>
        <w:t xml:space="preserve">egments at </w:t>
      </w:r>
      <w:r w:rsidR="00473371">
        <w:rPr>
          <w:rFonts w:ascii="Tahoma" w:hAnsi="Tahoma" w:cs="Tahoma"/>
          <w:noProof/>
          <w:sz w:val="24"/>
          <w:szCs w:val="24"/>
        </w:rPr>
        <w:t>U</w:t>
      </w:r>
      <w:r w:rsidRPr="00893EDA">
        <w:rPr>
          <w:rFonts w:ascii="Tahoma" w:hAnsi="Tahoma" w:cs="Tahoma"/>
          <w:noProof/>
          <w:sz w:val="24"/>
          <w:szCs w:val="24"/>
        </w:rPr>
        <w:t xml:space="preserve">pper GI </w:t>
      </w:r>
      <w:r w:rsidR="00473371">
        <w:rPr>
          <w:rFonts w:ascii="Tahoma" w:hAnsi="Tahoma" w:cs="Tahoma"/>
          <w:noProof/>
          <w:sz w:val="24"/>
          <w:szCs w:val="24"/>
        </w:rPr>
        <w:t>E</w:t>
      </w:r>
      <w:r w:rsidRPr="00893EDA">
        <w:rPr>
          <w:rFonts w:ascii="Tahoma" w:hAnsi="Tahoma" w:cs="Tahoma"/>
          <w:noProof/>
          <w:sz w:val="24"/>
          <w:szCs w:val="24"/>
        </w:rPr>
        <w:t>ndoscopy</w:t>
      </w:r>
      <w:r>
        <w:rPr>
          <w:rFonts w:ascii="Tahoma" w:hAnsi="Tahoma" w:cs="Tahoma"/>
          <w:noProof/>
          <w:sz w:val="24"/>
          <w:szCs w:val="24"/>
        </w:rPr>
        <w:t>.</w:t>
      </w:r>
    </w:p>
    <w:p w14:paraId="77E4D7A6" w14:textId="77777777" w:rsidR="00C72EDD" w:rsidRPr="00C72EDD" w:rsidRDefault="00C72EDD" w:rsidP="00E0156E">
      <w:pPr>
        <w:spacing w:after="0"/>
        <w:rPr>
          <w:rFonts w:ascii="Tahoma" w:hAnsi="Tahoma" w:cs="Tahoma"/>
          <w:b/>
          <w:bCs/>
          <w:noProof/>
          <w:color w:val="32598A"/>
          <w:sz w:val="16"/>
          <w:szCs w:val="16"/>
        </w:rPr>
      </w:pPr>
    </w:p>
    <w:p w14:paraId="5CFA3287" w14:textId="47E4F108" w:rsidR="003378B3" w:rsidRPr="00E0156E" w:rsidRDefault="003378B3" w:rsidP="003378B3">
      <w:pPr>
        <w:rPr>
          <w:rFonts w:ascii="Tahoma" w:hAnsi="Tahoma" w:cs="Tahoma"/>
          <w:noProof/>
          <w:sz w:val="24"/>
          <w:szCs w:val="24"/>
        </w:rPr>
      </w:pPr>
      <w:r w:rsidRPr="0073698D">
        <w:rPr>
          <w:rFonts w:ascii="Tahoma" w:hAnsi="Tahoma" w:cs="Tahoma"/>
          <w:b/>
          <w:bCs/>
          <w:noProof/>
          <w:color w:val="32598A"/>
          <w:sz w:val="28"/>
          <w:szCs w:val="28"/>
        </w:rPr>
        <w:t>Author/s:</w:t>
      </w:r>
      <w:r w:rsidR="00C72EDD" w:rsidRPr="00C72EDD">
        <w:rPr>
          <w:rFonts w:ascii="Tahoma" w:hAnsi="Tahoma" w:cs="Tahoma"/>
          <w:noProof/>
          <w:sz w:val="24"/>
          <w:szCs w:val="24"/>
        </w:rPr>
        <w:t xml:space="preserve"> </w:t>
      </w:r>
      <w:r w:rsidR="00C72EDD">
        <w:rPr>
          <w:rFonts w:ascii="Tahoma" w:hAnsi="Tahoma" w:cs="Tahoma"/>
          <w:noProof/>
          <w:sz w:val="24"/>
          <w:szCs w:val="24"/>
        </w:rPr>
        <w:t>Hawkes, N., Bowen, R.</w:t>
      </w:r>
      <w:r w:rsidR="00E0156E">
        <w:rPr>
          <w:rFonts w:ascii="Tahoma" w:hAnsi="Tahoma" w:cs="Tahoma"/>
          <w:b/>
          <w:bCs/>
          <w:noProof/>
          <w:color w:val="32598A"/>
          <w:sz w:val="28"/>
          <w:szCs w:val="28"/>
        </w:rPr>
        <w:t xml:space="preserve"> </w:t>
      </w:r>
    </w:p>
    <w:p w14:paraId="0EF06F1D" w14:textId="5DFBAEC8" w:rsidR="0073698D" w:rsidRDefault="0073698D" w:rsidP="003378B3">
      <w:pPr>
        <w:rPr>
          <w:rFonts w:ascii="Tahoma" w:hAnsi="Tahoma" w:cs="Tahoma"/>
          <w:b/>
          <w:bCs/>
          <w:noProof/>
          <w:color w:val="32598A"/>
          <w:sz w:val="28"/>
          <w:szCs w:val="28"/>
        </w:rPr>
      </w:pPr>
      <w:r>
        <w:rPr>
          <w:rFonts w:ascii="Tahoma" w:hAnsi="Tahoma" w:cs="Tahoma"/>
          <w:b/>
          <w:bCs/>
          <w:noProof/>
          <w:color w:val="32598A"/>
          <w:sz w:val="28"/>
          <w:szCs w:val="28"/>
        </w:rPr>
        <w:t>Department:</w:t>
      </w:r>
      <w:r w:rsidR="00C72EDD" w:rsidRPr="00C72EDD">
        <w:rPr>
          <w:rFonts w:ascii="Tahoma" w:hAnsi="Tahoma" w:cs="Tahoma"/>
          <w:noProof/>
          <w:sz w:val="24"/>
          <w:szCs w:val="24"/>
        </w:rPr>
        <w:t xml:space="preserve"> </w:t>
      </w:r>
      <w:r w:rsidR="00C72EDD">
        <w:rPr>
          <w:rFonts w:ascii="Tahoma" w:hAnsi="Tahoma" w:cs="Tahoma"/>
          <w:noProof/>
          <w:sz w:val="24"/>
          <w:szCs w:val="24"/>
        </w:rPr>
        <w:t>Department of Gastroenterology, Cwm Taf Morgannwg University Health Board</w:t>
      </w:r>
    </w:p>
    <w:p w14:paraId="5C2DF48A" w14:textId="77777777" w:rsidR="001D73FB" w:rsidRPr="00101A21" w:rsidRDefault="001D73FB" w:rsidP="001D73FB">
      <w:pPr>
        <w:shd w:val="clear" w:color="auto" w:fill="32598A"/>
        <w:rPr>
          <w:color w:val="0066CC"/>
        </w:rPr>
      </w:pPr>
    </w:p>
    <w:p w14:paraId="538FA88B" w14:textId="1FBE68A2" w:rsidR="00400A84" w:rsidRDefault="001D73FB" w:rsidP="00425388">
      <w:pPr>
        <w:spacing w:after="0" w:line="240" w:lineRule="auto"/>
        <w:jc w:val="both"/>
        <w:rPr>
          <w:rFonts w:ascii="Tahoma" w:hAnsi="Tahoma" w:cs="Tahoma"/>
          <w:b/>
          <w:bCs/>
          <w:sz w:val="24"/>
          <w:szCs w:val="24"/>
        </w:rPr>
      </w:pPr>
      <w:r>
        <w:rPr>
          <w:rFonts w:ascii="Tahoma" w:hAnsi="Tahoma" w:cs="Tahoma"/>
          <w:b/>
          <w:bCs/>
          <w:sz w:val="24"/>
          <w:szCs w:val="24"/>
        </w:rPr>
        <w:t>Introduction:</w:t>
      </w:r>
    </w:p>
    <w:p w14:paraId="66C0BFA1" w14:textId="0B8466D9" w:rsidR="00C72EDD" w:rsidRDefault="00C72EDD" w:rsidP="00425388">
      <w:pPr>
        <w:spacing w:line="240" w:lineRule="auto"/>
        <w:jc w:val="both"/>
        <w:rPr>
          <w:rFonts w:ascii="Tahoma" w:hAnsi="Tahoma" w:cs="Tahoma"/>
          <w:b/>
          <w:bCs/>
          <w:sz w:val="24"/>
          <w:szCs w:val="24"/>
        </w:rPr>
      </w:pPr>
      <w:r w:rsidRPr="00893EDA">
        <w:rPr>
          <w:rFonts w:ascii="Tahoma" w:hAnsi="Tahoma" w:cs="Tahoma"/>
          <w:noProof/>
          <w:sz w:val="24"/>
          <w:szCs w:val="24"/>
        </w:rPr>
        <w:t xml:space="preserve">Barrett’s oesophagus (BO) is a pre-malignant transformation of oesophageal mucosa and endoscopic surveillance is advised for </w:t>
      </w:r>
      <w:r>
        <w:rPr>
          <w:rFonts w:ascii="Tahoma" w:hAnsi="Tahoma" w:cs="Tahoma"/>
          <w:noProof/>
          <w:sz w:val="24"/>
          <w:szCs w:val="24"/>
        </w:rPr>
        <w:t>early</w:t>
      </w:r>
      <w:r w:rsidRPr="00893EDA">
        <w:rPr>
          <w:rFonts w:ascii="Tahoma" w:hAnsi="Tahoma" w:cs="Tahoma"/>
          <w:noProof/>
          <w:sz w:val="24"/>
          <w:szCs w:val="24"/>
        </w:rPr>
        <w:t xml:space="preserve"> detect</w:t>
      </w:r>
      <w:r>
        <w:rPr>
          <w:rFonts w:ascii="Tahoma" w:hAnsi="Tahoma" w:cs="Tahoma"/>
          <w:noProof/>
          <w:sz w:val="24"/>
          <w:szCs w:val="24"/>
        </w:rPr>
        <w:t>ion of</w:t>
      </w:r>
      <w:r w:rsidRPr="00893EDA">
        <w:rPr>
          <w:rFonts w:ascii="Tahoma" w:hAnsi="Tahoma" w:cs="Tahoma"/>
          <w:noProof/>
          <w:sz w:val="24"/>
          <w:szCs w:val="24"/>
        </w:rPr>
        <w:t xml:space="preserve"> dysplasia. UK performance standards on assessment and biopsy of a Barrett’s segment ensure effective</w:t>
      </w:r>
      <w:r>
        <w:rPr>
          <w:rFonts w:ascii="Tahoma" w:hAnsi="Tahoma" w:cs="Tahoma"/>
          <w:noProof/>
          <w:sz w:val="24"/>
          <w:szCs w:val="24"/>
        </w:rPr>
        <w:t xml:space="preserve"> and timely</w:t>
      </w:r>
      <w:r w:rsidRPr="00893EDA">
        <w:rPr>
          <w:rFonts w:ascii="Tahoma" w:hAnsi="Tahoma" w:cs="Tahoma"/>
          <w:noProof/>
          <w:sz w:val="24"/>
          <w:szCs w:val="24"/>
        </w:rPr>
        <w:t xml:space="preserve"> recognition of dysplastic changes. </w:t>
      </w:r>
      <w:r>
        <w:rPr>
          <w:rFonts w:ascii="Tahoma" w:hAnsi="Tahoma" w:cs="Tahoma"/>
          <w:noProof/>
          <w:sz w:val="24"/>
          <w:szCs w:val="24"/>
        </w:rPr>
        <w:t xml:space="preserve">UK </w:t>
      </w:r>
      <w:r w:rsidRPr="00893EDA">
        <w:rPr>
          <w:rFonts w:ascii="Tahoma" w:hAnsi="Tahoma" w:cs="Tahoma"/>
          <w:noProof/>
          <w:sz w:val="24"/>
          <w:szCs w:val="24"/>
        </w:rPr>
        <w:t>audits of post endoscopy upper GI endoscopy (PEUGIC) rates have highlighted missed opportunities to detect early upper GI cancer in Barrett’s segments. Local audit drives an understanding of local practice and where service improvements and training can be appropriately directed</w:t>
      </w:r>
      <w:r>
        <w:rPr>
          <w:rFonts w:ascii="Tahoma" w:hAnsi="Tahoma" w:cs="Tahoma"/>
          <w:noProof/>
          <w:sz w:val="24"/>
          <w:szCs w:val="24"/>
        </w:rPr>
        <w:t>.</w:t>
      </w:r>
    </w:p>
    <w:p w14:paraId="7348F163" w14:textId="716A40C3" w:rsidR="001D73FB" w:rsidRDefault="001D73FB" w:rsidP="00425388">
      <w:pPr>
        <w:spacing w:after="0" w:line="240" w:lineRule="auto"/>
        <w:jc w:val="both"/>
        <w:rPr>
          <w:rFonts w:ascii="Tahoma" w:hAnsi="Tahoma" w:cs="Tahoma"/>
          <w:b/>
          <w:bCs/>
          <w:sz w:val="24"/>
          <w:szCs w:val="24"/>
        </w:rPr>
      </w:pPr>
      <w:r>
        <w:rPr>
          <w:rFonts w:ascii="Tahoma" w:hAnsi="Tahoma" w:cs="Tahoma"/>
          <w:b/>
          <w:bCs/>
          <w:sz w:val="24"/>
          <w:szCs w:val="24"/>
        </w:rPr>
        <w:t>Aim:</w:t>
      </w:r>
    </w:p>
    <w:p w14:paraId="1B30E43F" w14:textId="78EF0304" w:rsidR="00425388" w:rsidRPr="00893EDA" w:rsidRDefault="00425388" w:rsidP="00425388">
      <w:pPr>
        <w:spacing w:line="240" w:lineRule="auto"/>
        <w:ind w:left="284" w:hanging="284"/>
        <w:jc w:val="both"/>
        <w:rPr>
          <w:rFonts w:ascii="Tahoma" w:hAnsi="Tahoma" w:cs="Tahoma"/>
          <w:noProof/>
          <w:sz w:val="24"/>
          <w:szCs w:val="24"/>
        </w:rPr>
      </w:pPr>
      <w:r w:rsidRPr="00893EDA">
        <w:rPr>
          <w:rFonts w:ascii="Tahoma" w:hAnsi="Tahoma" w:cs="Tahoma"/>
          <w:noProof/>
          <w:sz w:val="24"/>
          <w:szCs w:val="24"/>
        </w:rPr>
        <w:t>1</w:t>
      </w:r>
      <w:r>
        <w:rPr>
          <w:rFonts w:ascii="Tahoma" w:hAnsi="Tahoma" w:cs="Tahoma"/>
          <w:noProof/>
          <w:sz w:val="24"/>
          <w:szCs w:val="24"/>
        </w:rPr>
        <w:t>.</w:t>
      </w:r>
      <w:r w:rsidRPr="00893EDA">
        <w:rPr>
          <w:rFonts w:ascii="Tahoma" w:hAnsi="Tahoma" w:cs="Tahoma"/>
          <w:noProof/>
          <w:sz w:val="24"/>
          <w:szCs w:val="24"/>
        </w:rPr>
        <w:tab/>
        <w:t>To compare endoscopic assessment of BO in a) patients attending for planned surveillance or b</w:t>
      </w:r>
      <w:r>
        <w:rPr>
          <w:rFonts w:ascii="Tahoma" w:hAnsi="Tahoma" w:cs="Tahoma"/>
          <w:noProof/>
          <w:sz w:val="24"/>
          <w:szCs w:val="24"/>
        </w:rPr>
        <w:t>)</w:t>
      </w:r>
      <w:r w:rsidRPr="00893EDA">
        <w:rPr>
          <w:rFonts w:ascii="Tahoma" w:hAnsi="Tahoma" w:cs="Tahoma"/>
          <w:noProof/>
          <w:sz w:val="24"/>
          <w:szCs w:val="24"/>
        </w:rPr>
        <w:t xml:space="preserve"> when identified in the context of other acute indications.</w:t>
      </w:r>
    </w:p>
    <w:p w14:paraId="3DB101E1" w14:textId="0B9E97B5" w:rsidR="00425388" w:rsidRPr="00893EDA" w:rsidRDefault="00425388" w:rsidP="00425388">
      <w:pPr>
        <w:spacing w:line="240" w:lineRule="auto"/>
        <w:ind w:right="-360"/>
        <w:jc w:val="both"/>
        <w:rPr>
          <w:rFonts w:ascii="Tahoma" w:hAnsi="Tahoma" w:cs="Tahoma"/>
          <w:noProof/>
          <w:sz w:val="24"/>
          <w:szCs w:val="24"/>
        </w:rPr>
      </w:pPr>
      <w:r w:rsidRPr="00893EDA">
        <w:rPr>
          <w:rFonts w:ascii="Tahoma" w:hAnsi="Tahoma" w:cs="Tahoma"/>
          <w:noProof/>
          <w:sz w:val="24"/>
          <w:szCs w:val="24"/>
        </w:rPr>
        <w:t>2</w:t>
      </w:r>
      <w:r>
        <w:rPr>
          <w:rFonts w:ascii="Tahoma" w:hAnsi="Tahoma" w:cs="Tahoma"/>
          <w:noProof/>
          <w:sz w:val="24"/>
          <w:szCs w:val="24"/>
        </w:rPr>
        <w:t xml:space="preserve">. </w:t>
      </w:r>
      <w:r w:rsidRPr="00893EDA">
        <w:rPr>
          <w:rFonts w:ascii="Tahoma" w:hAnsi="Tahoma" w:cs="Tahoma"/>
          <w:noProof/>
          <w:sz w:val="24"/>
          <w:szCs w:val="24"/>
        </w:rPr>
        <w:t>To assess rates of detection of dysplasia or cancer.</w:t>
      </w:r>
    </w:p>
    <w:p w14:paraId="14435FF2" w14:textId="3DEAB59C" w:rsidR="00C72EDD" w:rsidRDefault="00425388" w:rsidP="00425388">
      <w:pPr>
        <w:spacing w:after="0" w:line="240" w:lineRule="auto"/>
        <w:jc w:val="both"/>
        <w:rPr>
          <w:rFonts w:ascii="Tahoma" w:hAnsi="Tahoma" w:cs="Tahoma"/>
          <w:noProof/>
          <w:sz w:val="24"/>
          <w:szCs w:val="24"/>
        </w:rPr>
      </w:pPr>
      <w:r w:rsidRPr="00893EDA">
        <w:rPr>
          <w:rFonts w:ascii="Tahoma" w:hAnsi="Tahoma" w:cs="Tahoma"/>
          <w:noProof/>
          <w:sz w:val="24"/>
          <w:szCs w:val="24"/>
        </w:rPr>
        <w:t>3</w:t>
      </w:r>
      <w:r>
        <w:rPr>
          <w:rFonts w:ascii="Tahoma" w:hAnsi="Tahoma" w:cs="Tahoma"/>
          <w:noProof/>
          <w:sz w:val="24"/>
          <w:szCs w:val="24"/>
        </w:rPr>
        <w:t xml:space="preserve">. </w:t>
      </w:r>
      <w:r w:rsidRPr="00893EDA">
        <w:rPr>
          <w:rFonts w:ascii="Tahoma" w:hAnsi="Tahoma" w:cs="Tahoma"/>
          <w:noProof/>
          <w:sz w:val="24"/>
          <w:szCs w:val="24"/>
        </w:rPr>
        <w:t>To identify other areas of pathway management where performance can be improved.</w:t>
      </w:r>
    </w:p>
    <w:p w14:paraId="002D872C" w14:textId="77777777" w:rsidR="00425388" w:rsidRPr="00425388" w:rsidRDefault="00425388" w:rsidP="00425388">
      <w:pPr>
        <w:spacing w:after="0" w:line="240" w:lineRule="auto"/>
        <w:jc w:val="both"/>
        <w:rPr>
          <w:rFonts w:ascii="Tahoma" w:hAnsi="Tahoma" w:cs="Tahoma"/>
          <w:b/>
          <w:bCs/>
          <w:sz w:val="16"/>
          <w:szCs w:val="16"/>
        </w:rPr>
      </w:pPr>
    </w:p>
    <w:p w14:paraId="4F0C03D1" w14:textId="6DA7557C" w:rsidR="001D73FB" w:rsidRDefault="001D73FB" w:rsidP="00425388">
      <w:pPr>
        <w:spacing w:after="0" w:line="240" w:lineRule="auto"/>
        <w:jc w:val="both"/>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47876039" w14:textId="60664422" w:rsidR="00425388" w:rsidRDefault="00425388" w:rsidP="00425388">
      <w:pPr>
        <w:spacing w:after="0" w:line="240" w:lineRule="auto"/>
        <w:jc w:val="both"/>
        <w:rPr>
          <w:rFonts w:ascii="Tahoma" w:hAnsi="Tahoma" w:cs="Tahoma"/>
          <w:b/>
          <w:bCs/>
          <w:sz w:val="24"/>
          <w:szCs w:val="24"/>
        </w:rPr>
      </w:pPr>
      <w:r w:rsidRPr="00893EDA">
        <w:rPr>
          <w:rFonts w:ascii="Tahoma" w:hAnsi="Tahoma" w:cs="Tahoma"/>
          <w:noProof/>
          <w:sz w:val="24"/>
          <w:szCs w:val="24"/>
        </w:rPr>
        <w:t xml:space="preserve">Using the EMS endoscopic database, </w:t>
      </w:r>
      <w:r>
        <w:rPr>
          <w:rFonts w:ascii="Tahoma" w:hAnsi="Tahoma" w:cs="Tahoma"/>
          <w:noProof/>
          <w:sz w:val="24"/>
          <w:szCs w:val="24"/>
        </w:rPr>
        <w:t>we identified</w:t>
      </w:r>
      <w:r w:rsidRPr="00893EDA">
        <w:rPr>
          <w:rFonts w:ascii="Tahoma" w:hAnsi="Tahoma" w:cs="Tahoma"/>
          <w:noProof/>
          <w:sz w:val="24"/>
          <w:szCs w:val="24"/>
        </w:rPr>
        <w:t xml:space="preserve"> patients </w:t>
      </w:r>
      <w:r>
        <w:rPr>
          <w:rFonts w:ascii="Tahoma" w:hAnsi="Tahoma" w:cs="Tahoma"/>
          <w:noProof/>
          <w:sz w:val="24"/>
          <w:szCs w:val="24"/>
        </w:rPr>
        <w:t>having</w:t>
      </w:r>
      <w:r w:rsidRPr="00893EDA">
        <w:rPr>
          <w:rFonts w:ascii="Tahoma" w:hAnsi="Tahoma" w:cs="Tahoma"/>
          <w:noProof/>
          <w:sz w:val="24"/>
          <w:szCs w:val="24"/>
        </w:rPr>
        <w:t xml:space="preserve"> upper GI endoscopy from 1 January to 31 March 2024. Endoscopy and histology with an indication or finding of BO were reviewed. Patients with no BO or an ultra-short segment (less than 1cm) were excluded. In patients with proven BO</w:t>
      </w:r>
      <w:r>
        <w:rPr>
          <w:rFonts w:ascii="Tahoma" w:hAnsi="Tahoma" w:cs="Tahoma"/>
          <w:noProof/>
          <w:sz w:val="24"/>
          <w:szCs w:val="24"/>
        </w:rPr>
        <w:t>,</w:t>
      </w:r>
      <w:r w:rsidRPr="00893EDA">
        <w:rPr>
          <w:rFonts w:ascii="Tahoma" w:hAnsi="Tahoma" w:cs="Tahoma"/>
          <w:noProof/>
          <w:sz w:val="24"/>
          <w:szCs w:val="24"/>
        </w:rPr>
        <w:t xml:space="preserve"> endoscopic key performance indicators (KPIs) - image</w:t>
      </w:r>
      <w:r>
        <w:rPr>
          <w:rFonts w:ascii="Tahoma" w:hAnsi="Tahoma" w:cs="Tahoma"/>
          <w:noProof/>
          <w:sz w:val="24"/>
          <w:szCs w:val="24"/>
        </w:rPr>
        <w:t xml:space="preserve"> quality</w:t>
      </w:r>
      <w:r w:rsidRPr="00893EDA">
        <w:rPr>
          <w:rFonts w:ascii="Tahoma" w:hAnsi="Tahoma" w:cs="Tahoma"/>
          <w:noProof/>
          <w:sz w:val="24"/>
          <w:szCs w:val="24"/>
        </w:rPr>
        <w:t>, blue light imaging (BLI), acetic acid chromoendoscopy,</w:t>
      </w:r>
      <w:r>
        <w:rPr>
          <w:rFonts w:ascii="Tahoma" w:hAnsi="Tahoma" w:cs="Tahoma"/>
          <w:noProof/>
          <w:sz w:val="24"/>
          <w:szCs w:val="24"/>
        </w:rPr>
        <w:t xml:space="preserve"> </w:t>
      </w:r>
      <w:r w:rsidRPr="00893EDA">
        <w:rPr>
          <w:rFonts w:ascii="Tahoma" w:hAnsi="Tahoma" w:cs="Tahoma"/>
          <w:noProof/>
          <w:sz w:val="24"/>
          <w:szCs w:val="24"/>
        </w:rPr>
        <w:t xml:space="preserve">Prague Classification, and Seattle Biopsy Protocol were </w:t>
      </w:r>
      <w:r>
        <w:rPr>
          <w:rFonts w:ascii="Tahoma" w:hAnsi="Tahoma" w:cs="Tahoma"/>
          <w:noProof/>
          <w:sz w:val="24"/>
          <w:szCs w:val="24"/>
        </w:rPr>
        <w:t>recorded</w:t>
      </w:r>
      <w:r w:rsidRPr="00893EDA">
        <w:rPr>
          <w:rFonts w:ascii="Tahoma" w:hAnsi="Tahoma" w:cs="Tahoma"/>
          <w:noProof/>
          <w:sz w:val="24"/>
          <w:szCs w:val="24"/>
        </w:rPr>
        <w:t>,</w:t>
      </w:r>
      <w:r>
        <w:rPr>
          <w:rFonts w:ascii="Tahoma" w:hAnsi="Tahoma" w:cs="Tahoma"/>
          <w:noProof/>
          <w:sz w:val="24"/>
          <w:szCs w:val="24"/>
        </w:rPr>
        <w:t xml:space="preserve"> as were follow-up arrangements and findings of dysplasia or cancer. KPI performance was compared between planned surveillance or acute indication using Chi square test.</w:t>
      </w:r>
    </w:p>
    <w:p w14:paraId="41CCDAF5" w14:textId="77777777" w:rsidR="00312351" w:rsidRPr="00425388" w:rsidRDefault="00312351" w:rsidP="00425388">
      <w:pPr>
        <w:spacing w:after="0" w:line="240" w:lineRule="auto"/>
        <w:jc w:val="both"/>
        <w:rPr>
          <w:rFonts w:ascii="Tahoma" w:hAnsi="Tahoma" w:cs="Tahoma"/>
          <w:sz w:val="16"/>
          <w:szCs w:val="16"/>
        </w:rPr>
      </w:pPr>
    </w:p>
    <w:p w14:paraId="335C0979" w14:textId="4E50B999" w:rsidR="001D73FB" w:rsidRDefault="001D73FB" w:rsidP="00425388">
      <w:pPr>
        <w:spacing w:after="0" w:line="240" w:lineRule="auto"/>
        <w:jc w:val="both"/>
        <w:rPr>
          <w:rFonts w:ascii="Tahoma" w:hAnsi="Tahoma" w:cs="Tahoma"/>
          <w:b/>
          <w:bCs/>
          <w:sz w:val="24"/>
          <w:szCs w:val="24"/>
        </w:rPr>
      </w:pPr>
      <w:r>
        <w:rPr>
          <w:rFonts w:ascii="Tahoma" w:hAnsi="Tahoma" w:cs="Tahoma"/>
          <w:b/>
          <w:bCs/>
          <w:sz w:val="24"/>
          <w:szCs w:val="24"/>
        </w:rPr>
        <w:t>Results:</w:t>
      </w:r>
    </w:p>
    <w:p w14:paraId="09ECF5FB" w14:textId="42343AC7" w:rsidR="00425388" w:rsidRDefault="00425388" w:rsidP="00425388">
      <w:pPr>
        <w:spacing w:after="0" w:line="240" w:lineRule="auto"/>
        <w:jc w:val="both"/>
        <w:rPr>
          <w:rFonts w:ascii="Tahoma" w:hAnsi="Tahoma" w:cs="Tahoma"/>
          <w:noProof/>
          <w:sz w:val="24"/>
          <w:szCs w:val="24"/>
        </w:rPr>
      </w:pPr>
      <w:r w:rsidRPr="009619AD">
        <w:rPr>
          <w:rFonts w:ascii="Tahoma" w:hAnsi="Tahoma" w:cs="Tahoma"/>
          <w:noProof/>
          <w:sz w:val="24"/>
          <w:szCs w:val="24"/>
        </w:rPr>
        <w:t xml:space="preserve">91 patients </w:t>
      </w:r>
      <w:r>
        <w:rPr>
          <w:rFonts w:ascii="Tahoma" w:hAnsi="Tahoma" w:cs="Tahoma"/>
          <w:noProof/>
          <w:sz w:val="24"/>
          <w:szCs w:val="24"/>
        </w:rPr>
        <w:t>had</w:t>
      </w:r>
      <w:r w:rsidRPr="009619AD">
        <w:rPr>
          <w:rFonts w:ascii="Tahoma" w:hAnsi="Tahoma" w:cs="Tahoma"/>
          <w:noProof/>
          <w:sz w:val="24"/>
          <w:szCs w:val="24"/>
        </w:rPr>
        <w:t xml:space="preserve"> ‘indication or finding’ of BO on EMS</w:t>
      </w:r>
      <w:r>
        <w:rPr>
          <w:rFonts w:ascii="Tahoma" w:hAnsi="Tahoma" w:cs="Tahoma"/>
          <w:noProof/>
          <w:sz w:val="24"/>
          <w:szCs w:val="24"/>
        </w:rPr>
        <w:t xml:space="preserve"> (</w:t>
      </w:r>
      <w:r w:rsidRPr="009619AD">
        <w:rPr>
          <w:rFonts w:ascii="Tahoma" w:hAnsi="Tahoma" w:cs="Tahoma"/>
          <w:noProof/>
          <w:sz w:val="24"/>
          <w:szCs w:val="24"/>
        </w:rPr>
        <w:t>31 patients excluded</w:t>
      </w:r>
      <w:r>
        <w:rPr>
          <w:rFonts w:ascii="Tahoma" w:hAnsi="Tahoma" w:cs="Tahoma"/>
          <w:noProof/>
          <w:sz w:val="24"/>
          <w:szCs w:val="24"/>
        </w:rPr>
        <w:t>)</w:t>
      </w:r>
      <w:r w:rsidRPr="009619AD">
        <w:rPr>
          <w:rFonts w:ascii="Tahoma" w:hAnsi="Tahoma" w:cs="Tahoma"/>
          <w:noProof/>
          <w:sz w:val="24"/>
          <w:szCs w:val="24"/>
        </w:rPr>
        <w:t xml:space="preserve">. 60 patients </w:t>
      </w:r>
      <w:r>
        <w:rPr>
          <w:rFonts w:ascii="Tahoma" w:hAnsi="Tahoma" w:cs="Tahoma"/>
          <w:noProof/>
          <w:sz w:val="24"/>
          <w:szCs w:val="24"/>
        </w:rPr>
        <w:t>had</w:t>
      </w:r>
      <w:r w:rsidRPr="009619AD">
        <w:rPr>
          <w:rFonts w:ascii="Tahoma" w:hAnsi="Tahoma" w:cs="Tahoma"/>
          <w:noProof/>
          <w:sz w:val="24"/>
          <w:szCs w:val="24"/>
        </w:rPr>
        <w:t xml:space="preserve"> proven BO – 33 patients (21 </w:t>
      </w:r>
      <w:r>
        <w:rPr>
          <w:rFonts w:ascii="Tahoma" w:hAnsi="Tahoma" w:cs="Tahoma"/>
          <w:noProof/>
          <w:sz w:val="24"/>
          <w:szCs w:val="24"/>
        </w:rPr>
        <w:t>M</w:t>
      </w:r>
      <w:r w:rsidRPr="009619AD">
        <w:rPr>
          <w:rFonts w:ascii="Tahoma" w:hAnsi="Tahoma" w:cs="Tahoma"/>
          <w:noProof/>
          <w:sz w:val="24"/>
          <w:szCs w:val="24"/>
        </w:rPr>
        <w:t>, mean 64.8 yrs) attending for surveillance, 27 patients (20</w:t>
      </w:r>
      <w:r>
        <w:rPr>
          <w:rFonts w:ascii="Tahoma" w:hAnsi="Tahoma" w:cs="Tahoma"/>
          <w:noProof/>
          <w:sz w:val="24"/>
          <w:szCs w:val="24"/>
        </w:rPr>
        <w:t xml:space="preserve"> M</w:t>
      </w:r>
      <w:r w:rsidRPr="009619AD">
        <w:rPr>
          <w:rFonts w:ascii="Tahoma" w:hAnsi="Tahoma" w:cs="Tahoma"/>
          <w:noProof/>
          <w:sz w:val="24"/>
          <w:szCs w:val="24"/>
        </w:rPr>
        <w:t xml:space="preserve">, mean 64.3 yrs) scoped for another acute indication. </w:t>
      </w:r>
      <w:r>
        <w:rPr>
          <w:rFonts w:ascii="Tahoma" w:hAnsi="Tahoma" w:cs="Tahoma"/>
          <w:noProof/>
          <w:sz w:val="24"/>
          <w:szCs w:val="24"/>
        </w:rPr>
        <w:t>Use of Prague Classification terminology is widely adhered to. I</w:t>
      </w:r>
      <w:r w:rsidRPr="009619AD">
        <w:rPr>
          <w:rFonts w:ascii="Tahoma" w:hAnsi="Tahoma" w:cs="Tahoma"/>
          <w:noProof/>
          <w:sz w:val="24"/>
          <w:szCs w:val="24"/>
        </w:rPr>
        <w:t xml:space="preserve">mage taking and use of BLI on scope withdrawal </w:t>
      </w:r>
      <w:r>
        <w:rPr>
          <w:rFonts w:ascii="Tahoma" w:hAnsi="Tahoma" w:cs="Tahoma"/>
          <w:noProof/>
          <w:sz w:val="24"/>
          <w:szCs w:val="24"/>
        </w:rPr>
        <w:t xml:space="preserve">needs to improve </w:t>
      </w:r>
      <w:r w:rsidRPr="009619AD">
        <w:rPr>
          <w:rFonts w:ascii="Tahoma" w:hAnsi="Tahoma" w:cs="Tahoma"/>
          <w:noProof/>
          <w:sz w:val="24"/>
          <w:szCs w:val="24"/>
        </w:rPr>
        <w:t>for all patients. Use of acetic acid dye</w:t>
      </w:r>
      <w:r>
        <w:rPr>
          <w:rFonts w:ascii="Tahoma" w:hAnsi="Tahoma" w:cs="Tahoma"/>
          <w:noProof/>
          <w:sz w:val="24"/>
          <w:szCs w:val="24"/>
        </w:rPr>
        <w:t xml:space="preserve"> (p&lt;0.00001)</w:t>
      </w:r>
      <w:r w:rsidRPr="009619AD">
        <w:rPr>
          <w:rFonts w:ascii="Tahoma" w:hAnsi="Tahoma" w:cs="Tahoma"/>
          <w:noProof/>
          <w:sz w:val="24"/>
          <w:szCs w:val="24"/>
        </w:rPr>
        <w:t xml:space="preserve"> and adherence to Seattle biopsy protocol </w:t>
      </w:r>
      <w:r>
        <w:rPr>
          <w:rFonts w:ascii="Tahoma" w:hAnsi="Tahoma" w:cs="Tahoma"/>
          <w:noProof/>
          <w:sz w:val="24"/>
          <w:szCs w:val="24"/>
        </w:rPr>
        <w:t xml:space="preserve">(p=0.005) </w:t>
      </w:r>
      <w:r w:rsidRPr="009619AD">
        <w:rPr>
          <w:rFonts w:ascii="Tahoma" w:hAnsi="Tahoma" w:cs="Tahoma"/>
          <w:noProof/>
          <w:sz w:val="24"/>
          <w:szCs w:val="24"/>
        </w:rPr>
        <w:t>was significantly better i</w:t>
      </w:r>
      <w:r>
        <w:rPr>
          <w:rFonts w:ascii="Tahoma" w:hAnsi="Tahoma" w:cs="Tahoma"/>
          <w:noProof/>
          <w:sz w:val="24"/>
          <w:szCs w:val="24"/>
        </w:rPr>
        <w:t>n</w:t>
      </w:r>
      <w:r w:rsidRPr="009619AD">
        <w:rPr>
          <w:rFonts w:ascii="Tahoma" w:hAnsi="Tahoma" w:cs="Tahoma"/>
          <w:noProof/>
          <w:sz w:val="24"/>
          <w:szCs w:val="24"/>
        </w:rPr>
        <w:t xml:space="preserve"> planned surveillance</w:t>
      </w:r>
      <w:r>
        <w:rPr>
          <w:rFonts w:ascii="Tahoma" w:hAnsi="Tahoma" w:cs="Tahoma"/>
          <w:noProof/>
          <w:sz w:val="24"/>
          <w:szCs w:val="24"/>
        </w:rPr>
        <w:t xml:space="preserve"> group</w:t>
      </w:r>
      <w:r w:rsidRPr="009619AD">
        <w:rPr>
          <w:rFonts w:ascii="Tahoma" w:hAnsi="Tahoma" w:cs="Tahoma"/>
          <w:noProof/>
          <w:sz w:val="24"/>
          <w:szCs w:val="24"/>
        </w:rPr>
        <w:t xml:space="preserve"> vs an acute indication. </w:t>
      </w:r>
      <w:r w:rsidRPr="00905B9B">
        <w:rPr>
          <w:rFonts w:ascii="Tahoma" w:hAnsi="Tahoma" w:cs="Tahoma"/>
          <w:noProof/>
          <w:sz w:val="24"/>
          <w:szCs w:val="24"/>
        </w:rPr>
        <w:t xml:space="preserve">One </w:t>
      </w:r>
      <w:r>
        <w:rPr>
          <w:rFonts w:ascii="Tahoma" w:hAnsi="Tahoma" w:cs="Tahoma"/>
          <w:noProof/>
          <w:sz w:val="24"/>
          <w:szCs w:val="24"/>
        </w:rPr>
        <w:t xml:space="preserve">surveillance </w:t>
      </w:r>
      <w:r w:rsidRPr="00905B9B">
        <w:rPr>
          <w:rFonts w:ascii="Tahoma" w:hAnsi="Tahoma" w:cs="Tahoma"/>
          <w:noProof/>
          <w:sz w:val="24"/>
          <w:szCs w:val="24"/>
        </w:rPr>
        <w:t xml:space="preserve">patient </w:t>
      </w:r>
      <w:r>
        <w:rPr>
          <w:rFonts w:ascii="Tahoma" w:hAnsi="Tahoma" w:cs="Tahoma"/>
          <w:noProof/>
          <w:sz w:val="24"/>
          <w:szCs w:val="24"/>
        </w:rPr>
        <w:t>had</w:t>
      </w:r>
      <w:r w:rsidRPr="00905B9B">
        <w:rPr>
          <w:rFonts w:ascii="Tahoma" w:hAnsi="Tahoma" w:cs="Tahoma"/>
          <w:noProof/>
          <w:sz w:val="24"/>
          <w:szCs w:val="24"/>
        </w:rPr>
        <w:t xml:space="preserve"> </w:t>
      </w:r>
      <w:r>
        <w:rPr>
          <w:rFonts w:ascii="Tahoma" w:hAnsi="Tahoma" w:cs="Tahoma"/>
          <w:noProof/>
          <w:sz w:val="24"/>
          <w:szCs w:val="24"/>
        </w:rPr>
        <w:t xml:space="preserve">treatable </w:t>
      </w:r>
      <w:r w:rsidRPr="00905B9B">
        <w:rPr>
          <w:rFonts w:ascii="Tahoma" w:hAnsi="Tahoma" w:cs="Tahoma"/>
          <w:noProof/>
          <w:sz w:val="24"/>
          <w:szCs w:val="24"/>
        </w:rPr>
        <w:t xml:space="preserve">high grade dysplasia within </w:t>
      </w:r>
      <w:r>
        <w:rPr>
          <w:rFonts w:ascii="Tahoma" w:hAnsi="Tahoma" w:cs="Tahoma"/>
          <w:noProof/>
          <w:sz w:val="24"/>
          <w:szCs w:val="24"/>
        </w:rPr>
        <w:t>a</w:t>
      </w:r>
      <w:r w:rsidRPr="00905B9B">
        <w:rPr>
          <w:rFonts w:ascii="Tahoma" w:hAnsi="Tahoma" w:cs="Tahoma"/>
          <w:noProof/>
          <w:sz w:val="24"/>
          <w:szCs w:val="24"/>
        </w:rPr>
        <w:t xml:space="preserve"> Barrett’s segment</w:t>
      </w:r>
      <w:r>
        <w:rPr>
          <w:rFonts w:ascii="Tahoma" w:hAnsi="Tahoma" w:cs="Tahoma"/>
          <w:noProof/>
          <w:sz w:val="24"/>
          <w:szCs w:val="24"/>
        </w:rPr>
        <w:t>, two</w:t>
      </w:r>
      <w:r w:rsidRPr="00905B9B">
        <w:rPr>
          <w:rFonts w:ascii="Tahoma" w:hAnsi="Tahoma" w:cs="Tahoma"/>
          <w:noProof/>
          <w:sz w:val="24"/>
          <w:szCs w:val="24"/>
        </w:rPr>
        <w:t xml:space="preserve"> patients in acute group presented with </w:t>
      </w:r>
      <w:r>
        <w:rPr>
          <w:rFonts w:ascii="Tahoma" w:hAnsi="Tahoma" w:cs="Tahoma"/>
          <w:noProof/>
          <w:sz w:val="24"/>
          <w:szCs w:val="24"/>
        </w:rPr>
        <w:t>advanced cancer. Delays reviewing histology, repeating biopsies and booking correct next surveillance were seen.</w:t>
      </w:r>
    </w:p>
    <w:p w14:paraId="68BFB54A" w14:textId="7045EF38" w:rsidR="00425388" w:rsidRDefault="00425388" w:rsidP="00425388">
      <w:pPr>
        <w:spacing w:after="0" w:line="240" w:lineRule="auto"/>
        <w:jc w:val="both"/>
        <w:rPr>
          <w:rFonts w:ascii="Tahoma" w:hAnsi="Tahoma" w:cs="Tahoma"/>
          <w:b/>
          <w:bCs/>
          <w:sz w:val="24"/>
          <w:szCs w:val="24"/>
        </w:rPr>
      </w:pPr>
    </w:p>
    <w:p w14:paraId="45F73779" w14:textId="3817E7D0" w:rsidR="00425388" w:rsidRDefault="00425388" w:rsidP="00425388">
      <w:pPr>
        <w:spacing w:after="0" w:line="240" w:lineRule="auto"/>
        <w:jc w:val="both"/>
        <w:rPr>
          <w:rFonts w:ascii="Tahoma" w:hAnsi="Tahoma" w:cs="Tahoma"/>
          <w:b/>
          <w:bCs/>
          <w:sz w:val="24"/>
          <w:szCs w:val="24"/>
        </w:rPr>
      </w:pPr>
    </w:p>
    <w:p w14:paraId="0824DBA6" w14:textId="77777777" w:rsidR="00425388" w:rsidRDefault="00425388" w:rsidP="00425388">
      <w:pPr>
        <w:spacing w:after="0" w:line="240" w:lineRule="auto"/>
        <w:jc w:val="both"/>
        <w:rPr>
          <w:rFonts w:ascii="Tahoma" w:hAnsi="Tahoma" w:cs="Tahoma"/>
          <w:b/>
          <w:bCs/>
          <w:sz w:val="24"/>
          <w:szCs w:val="24"/>
        </w:rPr>
      </w:pPr>
    </w:p>
    <w:p w14:paraId="79D016C6" w14:textId="774F8A56" w:rsidR="001D73FB" w:rsidRDefault="001D73FB" w:rsidP="00425388">
      <w:pPr>
        <w:spacing w:after="0" w:line="240" w:lineRule="auto"/>
        <w:jc w:val="both"/>
        <w:rPr>
          <w:rFonts w:ascii="Tahoma" w:hAnsi="Tahoma" w:cs="Tahoma"/>
          <w:b/>
          <w:bCs/>
          <w:sz w:val="24"/>
          <w:szCs w:val="24"/>
        </w:rPr>
      </w:pPr>
      <w:r>
        <w:rPr>
          <w:rFonts w:ascii="Tahoma" w:hAnsi="Tahoma" w:cs="Tahoma"/>
          <w:b/>
          <w:bCs/>
          <w:sz w:val="24"/>
          <w:szCs w:val="24"/>
        </w:rPr>
        <w:lastRenderedPageBreak/>
        <w:t>Conclusion:</w:t>
      </w:r>
    </w:p>
    <w:p w14:paraId="417AF0EA" w14:textId="24791B99" w:rsidR="00425388" w:rsidRDefault="00425388" w:rsidP="00425388">
      <w:pPr>
        <w:spacing w:after="0" w:line="240" w:lineRule="auto"/>
        <w:jc w:val="both"/>
        <w:rPr>
          <w:rFonts w:ascii="Tahoma" w:hAnsi="Tahoma" w:cs="Tahoma"/>
          <w:b/>
          <w:bCs/>
          <w:sz w:val="24"/>
          <w:szCs w:val="24"/>
        </w:rPr>
      </w:pPr>
      <w:r w:rsidRPr="00F42EE6">
        <w:rPr>
          <w:rFonts w:ascii="Tahoma" w:hAnsi="Tahoma" w:cs="Tahoma"/>
          <w:noProof/>
          <w:sz w:val="24"/>
          <w:szCs w:val="24"/>
        </w:rPr>
        <w:t>We identified specific areas for service improvement relating to the assessment of patients with Barrett’s oesophagus which will inform a Barrett’s assessment training workshop. Adherence to standard endscopic KPIs was particularly low where Barrett’s segments are discovered as an incidental finding. Where possible</w:t>
      </w:r>
      <w:r>
        <w:rPr>
          <w:rFonts w:ascii="Tahoma" w:hAnsi="Tahoma" w:cs="Tahoma"/>
          <w:noProof/>
          <w:sz w:val="24"/>
          <w:szCs w:val="24"/>
        </w:rPr>
        <w:t>,</w:t>
      </w:r>
      <w:r w:rsidRPr="00F42EE6">
        <w:rPr>
          <w:rFonts w:ascii="Tahoma" w:hAnsi="Tahoma" w:cs="Tahoma"/>
          <w:noProof/>
          <w:sz w:val="24"/>
          <w:szCs w:val="24"/>
        </w:rPr>
        <w:t xml:space="preserve"> dedicated Barrett’s surveillance lists should be timetabled as this is the best setting for providing high quality surveillance, to increase detection of advanced dysplasia at a treatable stage, and minimise errors in histology review and booking follow-up endoscopy.</w:t>
      </w:r>
    </w:p>
    <w:sectPr w:rsidR="00425388"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A84"/>
    <w:rsid w:val="000114E7"/>
    <w:rsid w:val="001300DE"/>
    <w:rsid w:val="00194A45"/>
    <w:rsid w:val="001D73FB"/>
    <w:rsid w:val="00312351"/>
    <w:rsid w:val="003378B3"/>
    <w:rsid w:val="00400A84"/>
    <w:rsid w:val="00425388"/>
    <w:rsid w:val="00473371"/>
    <w:rsid w:val="0073698D"/>
    <w:rsid w:val="0084790E"/>
    <w:rsid w:val="00957516"/>
    <w:rsid w:val="00A70F30"/>
    <w:rsid w:val="00AC3303"/>
    <w:rsid w:val="00C72EDD"/>
    <w:rsid w:val="00DB03CE"/>
    <w:rsid w:val="00E0156E"/>
    <w:rsid w:val="00E065C5"/>
    <w:rsid w:val="00EF0E17"/>
    <w:rsid w:val="00F057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484</Words>
  <Characters>2760</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3</cp:revision>
  <dcterms:created xsi:type="dcterms:W3CDTF">2024-11-13T13:31:00Z</dcterms:created>
  <dcterms:modified xsi:type="dcterms:W3CDTF">2024-11-22T09:34:00Z</dcterms:modified>
</cp:coreProperties>
</file>