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F27F08E" w:rsidR="003378B3" w:rsidRDefault="003378B3" w:rsidP="009319E1">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194568">
        <w:rPr>
          <w:rFonts w:ascii="Tahoma" w:hAnsi="Tahoma" w:cs="Tahoma"/>
          <w:b/>
          <w:bCs/>
          <w:noProof/>
          <w:color w:val="32598A"/>
          <w:sz w:val="28"/>
          <w:szCs w:val="28"/>
        </w:rPr>
        <w:t xml:space="preserve"> 31</w:t>
      </w:r>
    </w:p>
    <w:p w14:paraId="34A8F179" w14:textId="5044844D" w:rsidR="009319E1" w:rsidRDefault="00194568" w:rsidP="009319E1">
      <w:pPr>
        <w:spacing w:after="0" w:line="240" w:lineRule="auto"/>
        <w:rPr>
          <w:rFonts w:ascii="Tahoma" w:hAnsi="Tahoma" w:cs="Tahoma"/>
          <w:b/>
          <w:bCs/>
          <w:noProof/>
          <w:color w:val="32598A"/>
          <w:sz w:val="28"/>
          <w:szCs w:val="28"/>
        </w:rPr>
      </w:pPr>
      <w:sdt>
        <w:sdtPr>
          <w:rPr>
            <w:rFonts w:ascii="Tahoma" w:hAnsi="Tahoma" w:cs="Tahoma"/>
            <w:color w:val="000000" w:themeColor="text1"/>
            <w:kern w:val="2"/>
            <w:sz w:val="24"/>
            <w:szCs w:val="24"/>
            <w:lang w:val="en-US"/>
            <w14:ligatures w14:val="standardContextual"/>
          </w:rPr>
          <w:id w:val="495000437"/>
          <w:placeholder>
            <w:docPart w:val="00F9D4C73F654609A4B8B91E76D9509E"/>
          </w:placeholder>
          <w:text/>
        </w:sdtPr>
        <w:sdtEndPr/>
        <w:sdtContent>
          <w:r w:rsidR="009319E1" w:rsidRPr="00512F1E">
            <w:rPr>
              <w:rFonts w:ascii="Tahoma" w:hAnsi="Tahoma" w:cs="Tahoma"/>
              <w:color w:val="000000" w:themeColor="text1"/>
              <w:kern w:val="2"/>
              <w:sz w:val="24"/>
              <w:szCs w:val="24"/>
              <w:lang w:val="en-US"/>
              <w14:ligatures w14:val="standardContextual"/>
            </w:rPr>
            <w:t>Oral antibacterial prescribing in primary care and out-of-hours services: Stakeholders' perceptions</w:t>
          </w:r>
        </w:sdtContent>
      </w:sdt>
    </w:p>
    <w:p w14:paraId="5C0BCD45" w14:textId="77777777" w:rsidR="009319E1" w:rsidRPr="00F719B4" w:rsidRDefault="009319E1" w:rsidP="009319E1">
      <w:pPr>
        <w:spacing w:after="0" w:line="240" w:lineRule="auto"/>
        <w:rPr>
          <w:rFonts w:ascii="Tahoma" w:hAnsi="Tahoma" w:cs="Tahoma"/>
          <w:b/>
          <w:bCs/>
          <w:noProof/>
          <w:color w:val="32598A"/>
          <w:sz w:val="16"/>
          <w:szCs w:val="16"/>
        </w:rPr>
      </w:pPr>
    </w:p>
    <w:p w14:paraId="261AC157" w14:textId="1711183F" w:rsidR="009319E1" w:rsidRPr="009319E1" w:rsidRDefault="003378B3" w:rsidP="009319E1">
      <w:pPr>
        <w:ind w:right="-360"/>
        <w:rPr>
          <w:rFonts w:ascii="Tahoma" w:hAnsi="Tahoma" w:cs="Tahoma"/>
          <w:sz w:val="24"/>
          <w:szCs w:val="24"/>
        </w:rPr>
      </w:pPr>
      <w:r w:rsidRPr="009319E1">
        <w:rPr>
          <w:rFonts w:ascii="Tahoma" w:hAnsi="Tahoma" w:cs="Tahoma"/>
          <w:b/>
          <w:bCs/>
          <w:noProof/>
          <w:color w:val="32598A"/>
          <w:sz w:val="28"/>
          <w:szCs w:val="28"/>
        </w:rPr>
        <w:t>Author/s:</w:t>
      </w:r>
      <w:r w:rsidR="009319E1" w:rsidRPr="009319E1">
        <w:rPr>
          <w:rFonts w:ascii="Tahoma" w:hAnsi="Tahoma" w:cs="Tahoma"/>
          <w:b/>
          <w:bCs/>
          <w:noProof/>
          <w:color w:val="32598A"/>
          <w:sz w:val="28"/>
          <w:szCs w:val="28"/>
        </w:rPr>
        <w:t xml:space="preserve"> </w:t>
      </w:r>
      <w:sdt>
        <w:sdtPr>
          <w:rPr>
            <w:rFonts w:ascii="Tahoma" w:hAnsi="Tahoma" w:cs="Tahoma"/>
            <w:sz w:val="24"/>
            <w:szCs w:val="24"/>
          </w:rPr>
          <w:id w:val="-1002514772"/>
          <w:placeholder>
            <w:docPart w:val="701BECA593E945E8B0EDDEDABF6A05CB"/>
          </w:placeholder>
          <w:text/>
        </w:sdtPr>
        <w:sdtEndPr/>
        <w:sdtContent>
          <w:r w:rsidR="009319E1" w:rsidRPr="009319E1">
            <w:rPr>
              <w:rFonts w:ascii="Tahoma" w:hAnsi="Tahoma" w:cs="Tahoma"/>
              <w:sz w:val="24"/>
              <w:szCs w:val="24"/>
            </w:rPr>
            <w:t>Al Hussain</w:t>
          </w:r>
        </w:sdtContent>
      </w:sdt>
      <w:r w:rsidR="009319E1" w:rsidRPr="009319E1">
        <w:rPr>
          <w:rFonts w:ascii="Tahoma" w:hAnsi="Tahoma" w:cs="Tahoma"/>
          <w:sz w:val="24"/>
          <w:szCs w:val="24"/>
        </w:rPr>
        <w:t xml:space="preserve">, S., </w:t>
      </w:r>
      <w:sdt>
        <w:sdtPr>
          <w:rPr>
            <w:rFonts w:ascii="Tahoma" w:hAnsi="Tahoma" w:cs="Tahoma"/>
            <w:sz w:val="24"/>
            <w:szCs w:val="24"/>
          </w:rPr>
          <w:id w:val="478892902"/>
          <w:placeholder>
            <w:docPart w:val="8F80242DBC134A32A02DF3BF9C889C9A"/>
          </w:placeholder>
          <w:text/>
        </w:sdtPr>
        <w:sdtEndPr/>
        <w:sdtContent>
          <w:r w:rsidR="009319E1" w:rsidRPr="009319E1">
            <w:rPr>
              <w:rFonts w:ascii="Tahoma" w:hAnsi="Tahoma" w:cs="Tahoma"/>
              <w:sz w:val="24"/>
              <w:szCs w:val="24"/>
            </w:rPr>
            <w:t>Hodson</w:t>
          </w:r>
        </w:sdtContent>
      </w:sdt>
      <w:r w:rsidR="009319E1" w:rsidRPr="009319E1">
        <w:rPr>
          <w:rFonts w:ascii="Tahoma" w:hAnsi="Tahoma" w:cs="Tahoma"/>
          <w:sz w:val="24"/>
          <w:szCs w:val="24"/>
        </w:rPr>
        <w:t>, K., Deslandes, R.</w:t>
      </w:r>
    </w:p>
    <w:p w14:paraId="0EF06F1D" w14:textId="4FCBBA88" w:rsidR="0073698D" w:rsidRDefault="0073698D" w:rsidP="009319E1">
      <w:pPr>
        <w:spacing w:line="240" w:lineRule="auto"/>
        <w:rPr>
          <w:rFonts w:ascii="Tahoma" w:hAnsi="Tahoma" w:cs="Tahoma"/>
          <w:b/>
          <w:bCs/>
          <w:noProof/>
          <w:color w:val="32598A"/>
          <w:sz w:val="28"/>
          <w:szCs w:val="28"/>
        </w:rPr>
      </w:pPr>
      <w:r>
        <w:rPr>
          <w:rFonts w:ascii="Tahoma" w:hAnsi="Tahoma" w:cs="Tahoma"/>
          <w:b/>
          <w:bCs/>
          <w:noProof/>
          <w:color w:val="32598A"/>
          <w:sz w:val="28"/>
          <w:szCs w:val="28"/>
        </w:rPr>
        <w:t>Department:</w:t>
      </w:r>
      <w:r w:rsidR="009319E1" w:rsidRPr="009319E1">
        <w:rPr>
          <w:rFonts w:ascii="Tahoma" w:hAnsi="Tahoma" w:cs="Tahoma"/>
          <w:sz w:val="24"/>
          <w:szCs w:val="24"/>
        </w:rPr>
        <w:t xml:space="preserve"> </w:t>
      </w:r>
      <w:sdt>
        <w:sdtPr>
          <w:rPr>
            <w:rFonts w:ascii="Tahoma" w:hAnsi="Tahoma" w:cs="Tahoma"/>
            <w:sz w:val="24"/>
            <w:szCs w:val="24"/>
          </w:rPr>
          <w:id w:val="1694416682"/>
          <w:placeholder>
            <w:docPart w:val="3119F3F9F8EC4FCFADFADA3236E61C0E"/>
          </w:placeholder>
          <w:text/>
        </w:sdtPr>
        <w:sdtEndPr/>
        <w:sdtContent>
          <w:r w:rsidR="009319E1" w:rsidRPr="00171466">
            <w:rPr>
              <w:rFonts w:ascii="Tahoma" w:hAnsi="Tahoma" w:cs="Tahoma"/>
              <w:sz w:val="24"/>
              <w:szCs w:val="24"/>
            </w:rPr>
            <w:t>School of Pharmacy and Pharmaceutical Sciences</w:t>
          </w:r>
        </w:sdtContent>
      </w:sdt>
      <w:r w:rsidR="009319E1">
        <w:rPr>
          <w:rFonts w:ascii="Tahoma" w:hAnsi="Tahoma" w:cs="Tahoma"/>
          <w:sz w:val="24"/>
          <w:szCs w:val="24"/>
        </w:rPr>
        <w:t>, Cardiff University</w:t>
      </w:r>
    </w:p>
    <w:p w14:paraId="5C2DF48A" w14:textId="77777777" w:rsidR="001D73FB" w:rsidRPr="00101A21" w:rsidRDefault="001D73FB" w:rsidP="001D73FB">
      <w:pPr>
        <w:shd w:val="clear" w:color="auto" w:fill="32598A"/>
        <w:rPr>
          <w:color w:val="0066CC"/>
        </w:rPr>
      </w:pPr>
    </w:p>
    <w:p w14:paraId="538FA88B" w14:textId="6ACEEB1E" w:rsidR="00400A84" w:rsidRDefault="001D73FB" w:rsidP="00F719B4">
      <w:pPr>
        <w:spacing w:after="0" w:line="240" w:lineRule="auto"/>
        <w:jc w:val="both"/>
        <w:rPr>
          <w:rFonts w:ascii="Tahoma" w:hAnsi="Tahoma" w:cs="Tahoma"/>
          <w:b/>
          <w:bCs/>
          <w:sz w:val="24"/>
          <w:szCs w:val="24"/>
        </w:rPr>
      </w:pPr>
      <w:r>
        <w:rPr>
          <w:rFonts w:ascii="Tahoma" w:hAnsi="Tahoma" w:cs="Tahoma"/>
          <w:b/>
          <w:bCs/>
          <w:sz w:val="24"/>
          <w:szCs w:val="24"/>
        </w:rPr>
        <w:t>Introduction:</w:t>
      </w:r>
    </w:p>
    <w:p w14:paraId="1F1ED3FD" w14:textId="63A9F74B" w:rsidR="003F48E1" w:rsidRPr="003F48E1" w:rsidRDefault="003F48E1" w:rsidP="00F719B4">
      <w:pPr>
        <w:spacing w:line="240" w:lineRule="auto"/>
        <w:jc w:val="both"/>
        <w:rPr>
          <w:rFonts w:ascii="Tahoma" w:hAnsi="Tahoma" w:cs="Tahoma"/>
          <w:sz w:val="24"/>
          <w:szCs w:val="24"/>
        </w:rPr>
      </w:pPr>
      <w:r>
        <w:rPr>
          <w:rFonts w:ascii="Tahoma" w:hAnsi="Tahoma" w:cs="Tahoma"/>
          <w:sz w:val="24"/>
          <w:szCs w:val="24"/>
        </w:rPr>
        <w:t xml:space="preserve">Antibacterial drug prescribing considerably contributes to the global health issue of antimicrobial resistance. In Wales, various efforts have been undertaken to improve prescribing practices and promote rational use of these drugs. Initiatives such as Wales Improvement Goals and National Prescribing Indicators have been established to set clear prescribing targets. However, there remains a gap in evidence in Wales particularly regarding prescribing in out-of-hours (OOH) services. To address this, the researcher previously analysed data from the Comparative Analysis System for Prescribing Audit (CASPA) to quantify oral antibacterial drug prescribing over 7 years in primary care, where prescribing in the UK is known to be high, with a specific focus on OOH services. </w:t>
      </w:r>
      <w:r w:rsidR="00450633">
        <w:rPr>
          <w:rFonts w:ascii="Tahoma" w:hAnsi="Tahoma" w:cs="Tahoma"/>
          <w:sz w:val="24"/>
          <w:szCs w:val="24"/>
        </w:rPr>
        <w:t xml:space="preserve">While this quantitative analysis provided valuable knowledge, there is still a need to gain a deeper understanding of the broader context and evaluation of the prescribing patterns beyond just the numerical data. This requires exploring stakeholders’ perspectives on these patterns, including any potential influences and impact of antimicrobial stewardship initiatives. </w:t>
      </w:r>
      <w:r>
        <w:rPr>
          <w:rFonts w:ascii="Tahoma" w:hAnsi="Tahoma" w:cs="Tahoma"/>
          <w:sz w:val="24"/>
          <w:szCs w:val="24"/>
        </w:rPr>
        <w:t xml:space="preserve"> </w:t>
      </w:r>
    </w:p>
    <w:p w14:paraId="7348F163" w14:textId="54164397" w:rsidR="001D73FB" w:rsidRDefault="001D73FB" w:rsidP="00F719B4">
      <w:pPr>
        <w:spacing w:after="0" w:line="240" w:lineRule="auto"/>
        <w:jc w:val="both"/>
        <w:rPr>
          <w:rFonts w:ascii="Tahoma" w:hAnsi="Tahoma" w:cs="Tahoma"/>
          <w:b/>
          <w:bCs/>
          <w:sz w:val="24"/>
          <w:szCs w:val="24"/>
        </w:rPr>
      </w:pPr>
      <w:r>
        <w:rPr>
          <w:rFonts w:ascii="Tahoma" w:hAnsi="Tahoma" w:cs="Tahoma"/>
          <w:b/>
          <w:bCs/>
          <w:sz w:val="24"/>
          <w:szCs w:val="24"/>
        </w:rPr>
        <w:t>Aim:</w:t>
      </w:r>
    </w:p>
    <w:p w14:paraId="752BEC11" w14:textId="729EDBE5" w:rsidR="00450633" w:rsidRPr="00450633" w:rsidRDefault="00450633" w:rsidP="00F719B4">
      <w:pPr>
        <w:spacing w:after="0" w:line="240" w:lineRule="auto"/>
        <w:jc w:val="both"/>
        <w:rPr>
          <w:rFonts w:ascii="Tahoma" w:hAnsi="Tahoma" w:cs="Tahoma"/>
          <w:sz w:val="24"/>
          <w:szCs w:val="24"/>
        </w:rPr>
      </w:pPr>
      <w:r>
        <w:rPr>
          <w:rFonts w:ascii="Tahoma" w:hAnsi="Tahoma" w:cs="Tahoma"/>
          <w:sz w:val="24"/>
          <w:szCs w:val="24"/>
        </w:rPr>
        <w:t>To explore key stakeholders’ perspectives regarding oral antibacterial drug prescribing and the patterns of prescribing in Wales in primary care overall and OOH services.</w:t>
      </w:r>
    </w:p>
    <w:p w14:paraId="7152BEC4" w14:textId="77777777" w:rsidR="00450633" w:rsidRPr="00F719B4" w:rsidRDefault="00450633" w:rsidP="00F719B4">
      <w:pPr>
        <w:spacing w:after="0" w:line="240" w:lineRule="auto"/>
        <w:jc w:val="both"/>
        <w:rPr>
          <w:rFonts w:ascii="Tahoma" w:hAnsi="Tahoma" w:cs="Tahoma"/>
          <w:b/>
          <w:bCs/>
          <w:sz w:val="16"/>
          <w:szCs w:val="16"/>
        </w:rPr>
      </w:pPr>
    </w:p>
    <w:p w14:paraId="4F0C03D1" w14:textId="104C5553" w:rsidR="001D73FB" w:rsidRDefault="001D73FB" w:rsidP="00F719B4">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715C477C" w:rsidR="00312351" w:rsidRDefault="00450633" w:rsidP="00F719B4">
      <w:pPr>
        <w:spacing w:after="0" w:line="240" w:lineRule="auto"/>
        <w:jc w:val="both"/>
        <w:rPr>
          <w:rFonts w:ascii="Tahoma" w:hAnsi="Tahoma" w:cs="Tahoma"/>
          <w:sz w:val="24"/>
          <w:szCs w:val="24"/>
        </w:rPr>
      </w:pPr>
      <w:r w:rsidRPr="00701238">
        <w:rPr>
          <w:rFonts w:ascii="Tahoma" w:hAnsi="Tahoma" w:cs="Tahoma"/>
          <w:sz w:val="24"/>
          <w:szCs w:val="24"/>
        </w:rPr>
        <w:t>Semi-structured one-to-one interviews were conducted with seven representative lead and/or primary care antimicrobial pharmacists, or their equivalent. Those were purposively sampled and recruited, one from each Health Board in Wales after securing the necessary permissions. In addition to exploring their views on Wales prescribing, each participant was presented with their respective Health Board’s prescribing data in an attempt to explain observed patterns. With their consent, interviews were digitally audio and video recorded and transcribed verbatim. Data analysis employed a hybrid deductive and inductive thematic approach. The resulting codes were iteratively refined and organised into major themes and subthemes</w:t>
      </w:r>
      <w:r>
        <w:rPr>
          <w:rFonts w:ascii="Tahoma" w:hAnsi="Tahoma" w:cs="Tahoma"/>
          <w:sz w:val="24"/>
          <w:szCs w:val="24"/>
        </w:rPr>
        <w:t>.</w:t>
      </w:r>
    </w:p>
    <w:p w14:paraId="7C2F4F9D" w14:textId="77777777" w:rsidR="00450633" w:rsidRPr="00F719B4" w:rsidRDefault="00450633" w:rsidP="00F719B4">
      <w:pPr>
        <w:spacing w:after="0" w:line="240" w:lineRule="auto"/>
        <w:jc w:val="both"/>
        <w:rPr>
          <w:rFonts w:ascii="Tahoma" w:hAnsi="Tahoma" w:cs="Tahoma"/>
          <w:sz w:val="16"/>
          <w:szCs w:val="16"/>
        </w:rPr>
      </w:pPr>
    </w:p>
    <w:p w14:paraId="335C0979" w14:textId="3E0E25B5" w:rsidR="001D73FB" w:rsidRDefault="001D73FB" w:rsidP="00F719B4">
      <w:pPr>
        <w:spacing w:after="0" w:line="240" w:lineRule="auto"/>
        <w:jc w:val="both"/>
        <w:rPr>
          <w:rFonts w:ascii="Tahoma" w:hAnsi="Tahoma" w:cs="Tahoma"/>
          <w:b/>
          <w:bCs/>
          <w:sz w:val="24"/>
          <w:szCs w:val="24"/>
        </w:rPr>
      </w:pPr>
      <w:r>
        <w:rPr>
          <w:rFonts w:ascii="Tahoma" w:hAnsi="Tahoma" w:cs="Tahoma"/>
          <w:b/>
          <w:bCs/>
          <w:sz w:val="24"/>
          <w:szCs w:val="24"/>
        </w:rPr>
        <w:t>Results:</w:t>
      </w:r>
    </w:p>
    <w:p w14:paraId="396E466A" w14:textId="77777777" w:rsidR="00450633" w:rsidRDefault="00450633" w:rsidP="00F719B4">
      <w:pPr>
        <w:spacing w:after="0" w:line="240" w:lineRule="auto"/>
        <w:jc w:val="both"/>
        <w:rPr>
          <w:rFonts w:ascii="Tahoma" w:hAnsi="Tahoma" w:cs="Tahoma"/>
          <w:sz w:val="24"/>
          <w:szCs w:val="24"/>
        </w:rPr>
      </w:pPr>
      <w:r w:rsidRPr="00701238">
        <w:rPr>
          <w:rFonts w:ascii="Tahoma" w:hAnsi="Tahoma" w:cs="Tahoma"/>
          <w:sz w:val="24"/>
          <w:szCs w:val="24"/>
        </w:rPr>
        <w:t xml:space="preserve">Several factors were believed to impact antibacterial drug prescribing patterns in primary care, extending to OOH services. These include healthcare crises and management, resource challenges, and perceptions and behaviours surrounding antibacterial drugs. Improvements could be made through the use of intelligent data, enhanced communication and connectivity, provision of decision-making support, appropriate and continuous training and education, and </w:t>
      </w:r>
    </w:p>
    <w:p w14:paraId="7CE1A00B" w14:textId="77777777" w:rsidR="00F719B4" w:rsidRDefault="00450633" w:rsidP="00F719B4">
      <w:pPr>
        <w:spacing w:after="0" w:line="240" w:lineRule="auto"/>
        <w:jc w:val="both"/>
        <w:rPr>
          <w:rFonts w:ascii="Tahoma" w:hAnsi="Tahoma" w:cs="Tahoma"/>
          <w:sz w:val="24"/>
          <w:szCs w:val="24"/>
        </w:rPr>
      </w:pPr>
      <w:r w:rsidRPr="00701238">
        <w:rPr>
          <w:rFonts w:ascii="Tahoma" w:hAnsi="Tahoma" w:cs="Tahoma"/>
          <w:sz w:val="24"/>
          <w:szCs w:val="24"/>
        </w:rPr>
        <w:t>promoting behavioural change and accountability. Numerous antimicrobial stewardship initiatives are available and appropriate for primary care use; however, none were identified to be specific to OOH services. Although leadership and process standardisation were mainly thought to facilitate implementing OOH interventions, the lack of adequate data and the different organisational and</w:t>
      </w:r>
    </w:p>
    <w:p w14:paraId="3FC96B58" w14:textId="76C5C153" w:rsidR="00450633" w:rsidRDefault="00450633" w:rsidP="00F719B4">
      <w:pPr>
        <w:spacing w:after="0" w:line="240" w:lineRule="auto"/>
        <w:jc w:val="both"/>
        <w:rPr>
          <w:rFonts w:ascii="Tahoma" w:hAnsi="Tahoma" w:cs="Tahoma"/>
          <w:sz w:val="24"/>
          <w:szCs w:val="24"/>
        </w:rPr>
      </w:pPr>
      <w:r w:rsidRPr="00701238">
        <w:rPr>
          <w:rFonts w:ascii="Tahoma" w:hAnsi="Tahoma" w:cs="Tahoma"/>
          <w:sz w:val="24"/>
          <w:szCs w:val="24"/>
        </w:rPr>
        <w:lastRenderedPageBreak/>
        <w:t>operational factors related to the nature of OOH services made such implementation complex. Different challenges were found to restrict stakeholders’ ability to effectively evaluate the impact of individual antimicrobial stewardship interventions</w:t>
      </w:r>
      <w:r>
        <w:rPr>
          <w:rFonts w:ascii="Tahoma" w:hAnsi="Tahoma" w:cs="Tahoma"/>
          <w:sz w:val="24"/>
          <w:szCs w:val="24"/>
        </w:rPr>
        <w:t>.</w:t>
      </w:r>
    </w:p>
    <w:p w14:paraId="40AC2376" w14:textId="77777777" w:rsidR="00450633" w:rsidRPr="00F719B4" w:rsidRDefault="00450633" w:rsidP="00F719B4">
      <w:pPr>
        <w:spacing w:after="0" w:line="240" w:lineRule="auto"/>
        <w:jc w:val="both"/>
        <w:rPr>
          <w:rFonts w:ascii="Tahoma" w:hAnsi="Tahoma" w:cs="Tahoma"/>
          <w:b/>
          <w:bCs/>
          <w:sz w:val="16"/>
          <w:szCs w:val="16"/>
        </w:rPr>
      </w:pPr>
    </w:p>
    <w:p w14:paraId="79D016C6" w14:textId="5838F26E" w:rsidR="001D73FB" w:rsidRDefault="001D73FB" w:rsidP="00F719B4">
      <w:pPr>
        <w:spacing w:after="0" w:line="240" w:lineRule="auto"/>
        <w:jc w:val="both"/>
        <w:rPr>
          <w:rFonts w:ascii="Tahoma" w:hAnsi="Tahoma" w:cs="Tahoma"/>
          <w:b/>
          <w:bCs/>
          <w:sz w:val="24"/>
          <w:szCs w:val="24"/>
        </w:rPr>
      </w:pPr>
      <w:r>
        <w:rPr>
          <w:rFonts w:ascii="Tahoma" w:hAnsi="Tahoma" w:cs="Tahoma"/>
          <w:b/>
          <w:bCs/>
          <w:sz w:val="24"/>
          <w:szCs w:val="24"/>
        </w:rPr>
        <w:t>Conclusion:</w:t>
      </w:r>
    </w:p>
    <w:p w14:paraId="1BB951DC" w14:textId="499EAD7B" w:rsidR="00450633" w:rsidRDefault="00450633" w:rsidP="00F719B4">
      <w:pPr>
        <w:spacing w:after="0" w:line="240" w:lineRule="auto"/>
        <w:jc w:val="both"/>
        <w:rPr>
          <w:rFonts w:ascii="Tahoma" w:hAnsi="Tahoma" w:cs="Tahoma"/>
          <w:b/>
          <w:bCs/>
          <w:sz w:val="24"/>
          <w:szCs w:val="24"/>
        </w:rPr>
      </w:pPr>
      <w:r w:rsidRPr="00701238">
        <w:rPr>
          <w:rFonts w:ascii="Tahoma" w:hAnsi="Tahoma" w:cs="Tahoma"/>
          <w:sz w:val="24"/>
          <w:szCs w:val="24"/>
        </w:rPr>
        <w:t>This work highlights the challenges, specifically in OOH services, and opportunities to address the prescribing of antibacterial drugs in primary care. The insights gained may guide stakeholders in making further improvements in current prescribing practices, refining existing interventions, or developing targeted ones to support prescribers across the various healthcare settings</w:t>
      </w:r>
      <w:r>
        <w:rPr>
          <w:rFonts w:ascii="Tahoma" w:hAnsi="Tahoma" w:cs="Tahoma"/>
          <w:sz w:val="24"/>
          <w:szCs w:val="24"/>
        </w:rPr>
        <w:t>.</w:t>
      </w:r>
    </w:p>
    <w:sectPr w:rsidR="00450633"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645692"/>
    <w:multiLevelType w:val="hybridMultilevel"/>
    <w:tmpl w:val="979A8A32"/>
    <w:lvl w:ilvl="0" w:tplc="94BEB6C0">
      <w:start w:val="6"/>
      <w:numFmt w:val="bullet"/>
      <w:lvlText w:val="-"/>
      <w:lvlJc w:val="left"/>
      <w:pPr>
        <w:ind w:left="-360" w:hanging="360"/>
      </w:pPr>
      <w:rPr>
        <w:rFonts w:ascii="Tahoma" w:eastAsiaTheme="minorHAnsi" w:hAnsi="Tahoma" w:cs="Tahoma" w:hint="default"/>
      </w:rPr>
    </w:lvl>
    <w:lvl w:ilvl="1" w:tplc="08090003" w:tentative="1">
      <w:start w:val="1"/>
      <w:numFmt w:val="bullet"/>
      <w:lvlText w:val="o"/>
      <w:lvlJc w:val="left"/>
      <w:pPr>
        <w:ind w:left="360" w:hanging="360"/>
      </w:pPr>
      <w:rPr>
        <w:rFonts w:ascii="Courier New" w:hAnsi="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hint="default"/>
      </w:rPr>
    </w:lvl>
    <w:lvl w:ilvl="8" w:tplc="08090005" w:tentative="1">
      <w:start w:val="1"/>
      <w:numFmt w:val="bullet"/>
      <w:lvlText w:val=""/>
      <w:lvlJc w:val="left"/>
      <w:pPr>
        <w:ind w:left="54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568"/>
    <w:rsid w:val="00194A45"/>
    <w:rsid w:val="001D73FB"/>
    <w:rsid w:val="00312351"/>
    <w:rsid w:val="003378B3"/>
    <w:rsid w:val="003F48E1"/>
    <w:rsid w:val="00400A84"/>
    <w:rsid w:val="00450633"/>
    <w:rsid w:val="0073698D"/>
    <w:rsid w:val="0084790E"/>
    <w:rsid w:val="009319E1"/>
    <w:rsid w:val="00957516"/>
    <w:rsid w:val="00A70F30"/>
    <w:rsid w:val="00AC3303"/>
    <w:rsid w:val="00DB03CE"/>
    <w:rsid w:val="00E0156E"/>
    <w:rsid w:val="00E065C5"/>
    <w:rsid w:val="00EF0E17"/>
    <w:rsid w:val="00F057AF"/>
    <w:rsid w:val="00F719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19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0F9D4C73F654609A4B8B91E76D9509E"/>
        <w:category>
          <w:name w:val="General"/>
          <w:gallery w:val="placeholder"/>
        </w:category>
        <w:types>
          <w:type w:val="bbPlcHdr"/>
        </w:types>
        <w:behaviors>
          <w:behavior w:val="content"/>
        </w:behaviors>
        <w:guid w:val="{844E8DB5-8B14-4835-ABBC-A1EA171B772D}"/>
      </w:docPartPr>
      <w:docPartBody>
        <w:p w:rsidR="00BF061B" w:rsidRDefault="001416BA" w:rsidP="001416BA">
          <w:pPr>
            <w:pStyle w:val="00F9D4C73F654609A4B8B91E76D9509E"/>
          </w:pPr>
          <w:r w:rsidRPr="00810C78">
            <w:rPr>
              <w:rStyle w:val="PlaceholderText"/>
            </w:rPr>
            <w:t>Click or tap here to enter text.</w:t>
          </w:r>
        </w:p>
      </w:docPartBody>
    </w:docPart>
    <w:docPart>
      <w:docPartPr>
        <w:name w:val="701BECA593E945E8B0EDDEDABF6A05CB"/>
        <w:category>
          <w:name w:val="General"/>
          <w:gallery w:val="placeholder"/>
        </w:category>
        <w:types>
          <w:type w:val="bbPlcHdr"/>
        </w:types>
        <w:behaviors>
          <w:behavior w:val="content"/>
        </w:behaviors>
        <w:guid w:val="{24035787-E0F5-41FA-9246-23340DFE2C33}"/>
      </w:docPartPr>
      <w:docPartBody>
        <w:p w:rsidR="00BF061B" w:rsidRDefault="001416BA" w:rsidP="001416BA">
          <w:pPr>
            <w:pStyle w:val="701BECA593E945E8B0EDDEDABF6A05CB"/>
          </w:pPr>
          <w:r w:rsidRPr="00810C78">
            <w:rPr>
              <w:rStyle w:val="PlaceholderText"/>
            </w:rPr>
            <w:t>Click or tap here to enter text.</w:t>
          </w:r>
        </w:p>
      </w:docPartBody>
    </w:docPart>
    <w:docPart>
      <w:docPartPr>
        <w:name w:val="8F80242DBC134A32A02DF3BF9C889C9A"/>
        <w:category>
          <w:name w:val="General"/>
          <w:gallery w:val="placeholder"/>
        </w:category>
        <w:types>
          <w:type w:val="bbPlcHdr"/>
        </w:types>
        <w:behaviors>
          <w:behavior w:val="content"/>
        </w:behaviors>
        <w:guid w:val="{50BA7E2E-FDE2-4E2B-BED9-542A8130E1FF}"/>
      </w:docPartPr>
      <w:docPartBody>
        <w:p w:rsidR="00BF061B" w:rsidRDefault="001416BA" w:rsidP="001416BA">
          <w:pPr>
            <w:pStyle w:val="8F80242DBC134A32A02DF3BF9C889C9A"/>
          </w:pPr>
          <w:r w:rsidRPr="00810C78">
            <w:rPr>
              <w:rStyle w:val="PlaceholderText"/>
            </w:rPr>
            <w:t>Click or tap here to enter text.</w:t>
          </w:r>
        </w:p>
      </w:docPartBody>
    </w:docPart>
    <w:docPart>
      <w:docPartPr>
        <w:name w:val="3119F3F9F8EC4FCFADFADA3236E61C0E"/>
        <w:category>
          <w:name w:val="General"/>
          <w:gallery w:val="placeholder"/>
        </w:category>
        <w:types>
          <w:type w:val="bbPlcHdr"/>
        </w:types>
        <w:behaviors>
          <w:behavior w:val="content"/>
        </w:behaviors>
        <w:guid w:val="{CD76B027-9A01-4738-92FF-7692E60533EA}"/>
      </w:docPartPr>
      <w:docPartBody>
        <w:p w:rsidR="00BF061B" w:rsidRDefault="001416BA" w:rsidP="001416BA">
          <w:pPr>
            <w:pStyle w:val="3119F3F9F8EC4FCFADFADA3236E61C0E"/>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6BA"/>
    <w:rsid w:val="001416BA"/>
    <w:rsid w:val="00BF06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16BA"/>
    <w:rPr>
      <w:color w:val="808080"/>
    </w:rPr>
  </w:style>
  <w:style w:type="paragraph" w:customStyle="1" w:styleId="00F9D4C73F654609A4B8B91E76D9509E">
    <w:name w:val="00F9D4C73F654609A4B8B91E76D9509E"/>
    <w:rsid w:val="001416BA"/>
  </w:style>
  <w:style w:type="paragraph" w:customStyle="1" w:styleId="701BECA593E945E8B0EDDEDABF6A05CB">
    <w:name w:val="701BECA593E945E8B0EDDEDABF6A05CB"/>
    <w:rsid w:val="001416BA"/>
  </w:style>
  <w:style w:type="paragraph" w:customStyle="1" w:styleId="8F80242DBC134A32A02DF3BF9C889C9A">
    <w:name w:val="8F80242DBC134A32A02DF3BF9C889C9A"/>
    <w:rsid w:val="001416BA"/>
  </w:style>
  <w:style w:type="paragraph" w:customStyle="1" w:styleId="3119F3F9F8EC4FCFADFADA3236E61C0E">
    <w:name w:val="3119F3F9F8EC4FCFADFADA3236E61C0E"/>
    <w:rsid w:val="001416B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580</Words>
  <Characters>3309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2024-11-04T15:03:00Z</dcterms:created>
  <dcterms:modified xsi:type="dcterms:W3CDTF">2024-11-22T09:31:00Z</dcterms:modified>
</cp:coreProperties>
</file>