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8501EF3"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7A6B4D">
        <w:rPr>
          <w:rFonts w:ascii="Tahoma" w:hAnsi="Tahoma" w:cs="Tahoma"/>
          <w:b/>
          <w:bCs/>
          <w:noProof/>
          <w:color w:val="32598A"/>
          <w:sz w:val="28"/>
          <w:szCs w:val="28"/>
        </w:rPr>
        <w:t xml:space="preserve"> 30</w:t>
      </w:r>
    </w:p>
    <w:p w14:paraId="6151A194" w14:textId="238C9168" w:rsidR="002846E4" w:rsidRDefault="002846E4" w:rsidP="00E0156E">
      <w:pPr>
        <w:spacing w:after="0"/>
        <w:rPr>
          <w:rFonts w:ascii="Tahoma" w:hAnsi="Tahoma" w:cs="Tahoma"/>
          <w:noProof/>
          <w:sz w:val="24"/>
          <w:szCs w:val="24"/>
        </w:rPr>
      </w:pPr>
      <w:r w:rsidRPr="00633BF6">
        <w:rPr>
          <w:rFonts w:ascii="Tahoma" w:hAnsi="Tahoma" w:cs="Tahoma"/>
          <w:noProof/>
          <w:sz w:val="24"/>
          <w:szCs w:val="24"/>
        </w:rPr>
        <w:t>Retrospective evaluation of factors predictive of HbA1C levels of Children and Young People with Paediatric Diabetes Across Cwm Taf Morgannwg University Health Board</w:t>
      </w:r>
      <w:r>
        <w:rPr>
          <w:rFonts w:ascii="Tahoma" w:hAnsi="Tahoma" w:cs="Tahoma"/>
          <w:noProof/>
          <w:sz w:val="24"/>
          <w:szCs w:val="24"/>
        </w:rPr>
        <w:t>.</w:t>
      </w:r>
    </w:p>
    <w:p w14:paraId="62B30DA2" w14:textId="77777777" w:rsidR="002846E4" w:rsidRPr="002846E4" w:rsidRDefault="002846E4" w:rsidP="00E0156E">
      <w:pPr>
        <w:spacing w:after="0"/>
        <w:rPr>
          <w:rFonts w:ascii="Tahoma" w:hAnsi="Tahoma" w:cs="Tahoma"/>
          <w:b/>
          <w:bCs/>
          <w:noProof/>
          <w:color w:val="32598A"/>
          <w:sz w:val="16"/>
          <w:szCs w:val="16"/>
        </w:rPr>
      </w:pPr>
    </w:p>
    <w:p w14:paraId="5CFA3287" w14:textId="12118C94"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2846E4">
        <w:rPr>
          <w:rFonts w:ascii="Tahoma" w:hAnsi="Tahoma" w:cs="Tahoma"/>
          <w:noProof/>
          <w:sz w:val="24"/>
          <w:szCs w:val="24"/>
        </w:rPr>
        <w:t>Broughton, J., Lewis., M.</w:t>
      </w:r>
    </w:p>
    <w:p w14:paraId="0EF06F1D" w14:textId="53A5A86A" w:rsidR="0073698D" w:rsidRPr="002846E4"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2846E4">
        <w:rPr>
          <w:rFonts w:ascii="Tahoma" w:hAnsi="Tahoma" w:cs="Tahoma"/>
          <w:b/>
          <w:bCs/>
          <w:noProof/>
          <w:color w:val="32598A"/>
          <w:sz w:val="28"/>
          <w:szCs w:val="28"/>
        </w:rPr>
        <w:t xml:space="preserve"> </w:t>
      </w:r>
      <w:r w:rsidR="002846E4" w:rsidRPr="002846E4">
        <w:rPr>
          <w:rFonts w:ascii="Tahoma" w:hAnsi="Tahoma" w:cs="Tahoma"/>
          <w:noProof/>
          <w:sz w:val="24"/>
          <w:szCs w:val="24"/>
        </w:rPr>
        <w:t xml:space="preserve">Paediatric Psychology, </w:t>
      </w:r>
      <w:r w:rsidR="002846E4">
        <w:rPr>
          <w:rFonts w:ascii="Tahoma" w:hAnsi="Tahoma" w:cs="Tahoma"/>
          <w:noProof/>
          <w:sz w:val="24"/>
          <w:szCs w:val="24"/>
        </w:rPr>
        <w:t>Cwm Taf Morgannwg University Health Board</w:t>
      </w:r>
    </w:p>
    <w:p w14:paraId="5C2DF48A" w14:textId="77777777" w:rsidR="001D73FB" w:rsidRPr="00101A21" w:rsidRDefault="001D73FB" w:rsidP="001D73FB">
      <w:pPr>
        <w:shd w:val="clear" w:color="auto" w:fill="32598A"/>
        <w:rPr>
          <w:color w:val="0066CC"/>
        </w:rPr>
      </w:pPr>
    </w:p>
    <w:p w14:paraId="538FA88B" w14:textId="10284BE1" w:rsidR="00400A84" w:rsidRDefault="001D73FB" w:rsidP="002846E4">
      <w:pPr>
        <w:spacing w:after="0"/>
        <w:rPr>
          <w:rFonts w:ascii="Tahoma" w:hAnsi="Tahoma" w:cs="Tahoma"/>
          <w:b/>
          <w:bCs/>
          <w:sz w:val="24"/>
          <w:szCs w:val="24"/>
        </w:rPr>
      </w:pPr>
      <w:r>
        <w:rPr>
          <w:rFonts w:ascii="Tahoma" w:hAnsi="Tahoma" w:cs="Tahoma"/>
          <w:b/>
          <w:bCs/>
          <w:sz w:val="24"/>
          <w:szCs w:val="24"/>
        </w:rPr>
        <w:t>Introduction:</w:t>
      </w:r>
    </w:p>
    <w:p w14:paraId="74F3C27D" w14:textId="64583C03" w:rsidR="002846E4" w:rsidRDefault="002846E4" w:rsidP="002846E4">
      <w:pPr>
        <w:spacing w:line="240" w:lineRule="auto"/>
        <w:jc w:val="both"/>
        <w:rPr>
          <w:rFonts w:ascii="Tahoma" w:hAnsi="Tahoma" w:cs="Tahoma"/>
          <w:b/>
          <w:bCs/>
          <w:sz w:val="24"/>
          <w:szCs w:val="24"/>
        </w:rPr>
      </w:pPr>
      <w:r w:rsidRPr="00633BF6">
        <w:rPr>
          <w:rFonts w:ascii="Tahoma" w:hAnsi="Tahoma" w:cs="Tahoma"/>
          <w:noProof/>
          <w:sz w:val="24"/>
          <w:szCs w:val="24"/>
        </w:rPr>
        <w:t>HbA1C</w:t>
      </w:r>
      <w:r>
        <w:rPr>
          <w:rFonts w:ascii="Tahoma" w:hAnsi="Tahoma" w:cs="Tahoma"/>
          <w:noProof/>
          <w:sz w:val="24"/>
          <w:szCs w:val="24"/>
        </w:rPr>
        <w:t xml:space="preserve"> </w:t>
      </w:r>
      <w:r w:rsidRPr="00633BF6">
        <w:rPr>
          <w:rFonts w:ascii="Tahoma" w:hAnsi="Tahoma" w:cs="Tahoma"/>
          <w:noProof/>
          <w:sz w:val="24"/>
          <w:szCs w:val="24"/>
        </w:rPr>
        <w:t xml:space="preserve">is a type of red blood cell used to show the average glucose present in the blood for the past 2 to 3 months and is </w:t>
      </w:r>
      <w:r>
        <w:rPr>
          <w:rFonts w:ascii="Tahoma" w:hAnsi="Tahoma" w:cs="Tahoma"/>
          <w:noProof/>
          <w:sz w:val="24"/>
          <w:szCs w:val="24"/>
        </w:rPr>
        <w:t>a widely used measure of Diabetes management</w:t>
      </w:r>
      <w:r w:rsidRPr="00633BF6">
        <w:rPr>
          <w:rFonts w:ascii="Tahoma" w:hAnsi="Tahoma" w:cs="Tahoma"/>
          <w:noProof/>
          <w:sz w:val="24"/>
          <w:szCs w:val="24"/>
        </w:rPr>
        <w:t xml:space="preserve">. Higher HbA1C levels are associated with increased risk of medical complications and </w:t>
      </w:r>
      <w:r>
        <w:rPr>
          <w:rFonts w:ascii="Tahoma" w:hAnsi="Tahoma" w:cs="Tahoma"/>
          <w:noProof/>
          <w:sz w:val="24"/>
          <w:szCs w:val="24"/>
        </w:rPr>
        <w:t xml:space="preserve">also </w:t>
      </w:r>
      <w:r w:rsidRPr="00633BF6">
        <w:rPr>
          <w:rFonts w:ascii="Tahoma" w:hAnsi="Tahoma" w:cs="Tahoma"/>
          <w:noProof/>
          <w:sz w:val="24"/>
          <w:szCs w:val="24"/>
        </w:rPr>
        <w:t xml:space="preserve">risk to life. </w:t>
      </w:r>
      <w:r>
        <w:rPr>
          <w:rFonts w:ascii="Tahoma" w:hAnsi="Tahoma" w:cs="Tahoma"/>
          <w:noProof/>
          <w:sz w:val="24"/>
          <w:szCs w:val="24"/>
        </w:rPr>
        <w:t>Measures of HbA1C across England and Wales are annually submitted to the National Paediatric Diabetes Audit for review, with levels known to be currently consistently higher across Wales than England. Recent literature has identified different HbA1C trajectories and highlighted factors which may provide helpful targets for population based interventions to reduce HbA1C levels.</w:t>
      </w:r>
    </w:p>
    <w:p w14:paraId="7348F163" w14:textId="34C28FD2" w:rsidR="001D73FB" w:rsidRDefault="001D73FB" w:rsidP="002846E4">
      <w:pPr>
        <w:spacing w:after="0" w:line="240" w:lineRule="auto"/>
        <w:jc w:val="both"/>
        <w:rPr>
          <w:rFonts w:ascii="Tahoma" w:hAnsi="Tahoma" w:cs="Tahoma"/>
          <w:b/>
          <w:bCs/>
          <w:sz w:val="24"/>
          <w:szCs w:val="24"/>
        </w:rPr>
      </w:pPr>
      <w:r>
        <w:rPr>
          <w:rFonts w:ascii="Tahoma" w:hAnsi="Tahoma" w:cs="Tahoma"/>
          <w:b/>
          <w:bCs/>
          <w:sz w:val="24"/>
          <w:szCs w:val="24"/>
        </w:rPr>
        <w:t>Aim:</w:t>
      </w:r>
    </w:p>
    <w:p w14:paraId="27143D6A" w14:textId="5612960B" w:rsidR="002846E4" w:rsidRDefault="002846E4" w:rsidP="002846E4">
      <w:pPr>
        <w:spacing w:after="0" w:line="240" w:lineRule="auto"/>
        <w:jc w:val="both"/>
        <w:rPr>
          <w:rFonts w:ascii="Tahoma" w:hAnsi="Tahoma" w:cs="Tahoma"/>
          <w:noProof/>
          <w:sz w:val="24"/>
          <w:szCs w:val="24"/>
        </w:rPr>
      </w:pPr>
      <w:r>
        <w:rPr>
          <w:rFonts w:ascii="Tahoma" w:hAnsi="Tahoma" w:cs="Tahoma"/>
          <w:sz w:val="24"/>
          <w:szCs w:val="24"/>
        </w:rPr>
        <w:t xml:space="preserve">Whilst the data provided by NPDA is invaluable, published reports are not specific to CTM. </w:t>
      </w:r>
      <w:r w:rsidRPr="00CF3C01">
        <w:rPr>
          <w:rFonts w:ascii="Tahoma" w:hAnsi="Tahoma" w:cs="Tahoma"/>
          <w:noProof/>
          <w:sz w:val="24"/>
          <w:szCs w:val="24"/>
        </w:rPr>
        <w:t>We would like to conduct a separate secondary data analysis using previously collected data which was submitted to the NPDA in order to</w:t>
      </w:r>
      <w:r>
        <w:rPr>
          <w:rFonts w:ascii="Tahoma" w:hAnsi="Tahoma" w:cs="Tahoma"/>
          <w:noProof/>
          <w:sz w:val="24"/>
          <w:szCs w:val="24"/>
        </w:rPr>
        <w:t xml:space="preserve"> evaluate this data in more depth with a goal of</w:t>
      </w:r>
      <w:r w:rsidRPr="00CF3C01">
        <w:rPr>
          <w:rFonts w:ascii="Tahoma" w:hAnsi="Tahoma" w:cs="Tahoma"/>
          <w:noProof/>
          <w:sz w:val="24"/>
          <w:szCs w:val="24"/>
        </w:rPr>
        <w:t xml:space="preserve"> identify</w:t>
      </w:r>
      <w:r>
        <w:rPr>
          <w:rFonts w:ascii="Tahoma" w:hAnsi="Tahoma" w:cs="Tahoma"/>
          <w:noProof/>
          <w:sz w:val="24"/>
          <w:szCs w:val="24"/>
        </w:rPr>
        <w:t>ing</w:t>
      </w:r>
      <w:r w:rsidRPr="00CF3C01">
        <w:rPr>
          <w:rFonts w:ascii="Tahoma" w:hAnsi="Tahoma" w:cs="Tahoma"/>
          <w:noProof/>
          <w:sz w:val="24"/>
          <w:szCs w:val="24"/>
        </w:rPr>
        <w:t xml:space="preserve"> trends and unique factors</w:t>
      </w:r>
      <w:r>
        <w:rPr>
          <w:rFonts w:ascii="Tahoma" w:hAnsi="Tahoma" w:cs="Tahoma"/>
          <w:noProof/>
          <w:sz w:val="24"/>
          <w:szCs w:val="24"/>
        </w:rPr>
        <w:t xml:space="preserve"> to the CTM population</w:t>
      </w:r>
      <w:r w:rsidRPr="00CF3C01">
        <w:rPr>
          <w:rFonts w:ascii="Tahoma" w:hAnsi="Tahoma" w:cs="Tahoma"/>
          <w:noProof/>
          <w:sz w:val="24"/>
          <w:szCs w:val="24"/>
        </w:rPr>
        <w:t xml:space="preserve">, including potential risk factors and factors which appear to be </w:t>
      </w:r>
      <w:r>
        <w:rPr>
          <w:rFonts w:ascii="Tahoma" w:hAnsi="Tahoma" w:cs="Tahoma"/>
          <w:noProof/>
          <w:sz w:val="24"/>
          <w:szCs w:val="24"/>
        </w:rPr>
        <w:t xml:space="preserve">significantly associated with </w:t>
      </w:r>
      <w:r w:rsidRPr="00CF3C01">
        <w:rPr>
          <w:rFonts w:ascii="Tahoma" w:hAnsi="Tahoma" w:cs="Tahoma"/>
          <w:noProof/>
          <w:sz w:val="24"/>
          <w:szCs w:val="24"/>
        </w:rPr>
        <w:t xml:space="preserve">our higher HbA1C levels so that we can target resources appropriately in response to </w:t>
      </w:r>
      <w:r>
        <w:rPr>
          <w:rFonts w:ascii="Tahoma" w:hAnsi="Tahoma" w:cs="Tahoma"/>
          <w:noProof/>
          <w:sz w:val="24"/>
          <w:szCs w:val="24"/>
        </w:rPr>
        <w:t>our findings</w:t>
      </w:r>
      <w:r w:rsidRPr="00CF3C01">
        <w:rPr>
          <w:rFonts w:ascii="Tahoma" w:hAnsi="Tahoma" w:cs="Tahoma"/>
          <w:noProof/>
          <w:sz w:val="24"/>
          <w:szCs w:val="24"/>
        </w:rPr>
        <w:t>.</w:t>
      </w:r>
    </w:p>
    <w:p w14:paraId="2213185D" w14:textId="77777777" w:rsidR="002846E4" w:rsidRPr="002846E4" w:rsidRDefault="002846E4" w:rsidP="002846E4">
      <w:pPr>
        <w:spacing w:after="0" w:line="240" w:lineRule="auto"/>
        <w:jc w:val="both"/>
        <w:rPr>
          <w:rFonts w:ascii="Tahoma" w:hAnsi="Tahoma" w:cs="Tahoma"/>
          <w:b/>
          <w:bCs/>
          <w:sz w:val="16"/>
          <w:szCs w:val="16"/>
        </w:rPr>
      </w:pPr>
    </w:p>
    <w:p w14:paraId="4F0C03D1" w14:textId="104C5553" w:rsidR="001D73FB" w:rsidRDefault="001D73FB" w:rsidP="002846E4">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70658266" w:rsidR="00312351" w:rsidRDefault="002846E4" w:rsidP="002846E4">
      <w:pPr>
        <w:spacing w:after="0" w:line="240" w:lineRule="auto"/>
        <w:jc w:val="both"/>
        <w:rPr>
          <w:rFonts w:ascii="Tahoma" w:hAnsi="Tahoma" w:cs="Tahoma"/>
          <w:noProof/>
          <w:sz w:val="24"/>
          <w:szCs w:val="24"/>
        </w:rPr>
      </w:pPr>
      <w:r>
        <w:rPr>
          <w:rFonts w:ascii="Tahoma" w:hAnsi="Tahoma" w:cs="Tahoma"/>
          <w:noProof/>
          <w:sz w:val="24"/>
          <w:szCs w:val="24"/>
        </w:rPr>
        <w:t>This projects uses datasets already submitted to the NPDA, for the years 2021, 2022 and 2023. As such, all data are anonymised. All patients in these data sets will be included in our analysis, as data were only collected for patients who gave informed consent to provide their data for evaluation purposes. The dataset represents about 300 patients per year. Factor and cluster analysis will be conducted, informed by previous findings from the litterature, and including biopsychosocial factors as indicated by psychological theory.</w:t>
      </w:r>
      <w:r w:rsidR="00C62307">
        <w:rPr>
          <w:rFonts w:ascii="Tahoma" w:hAnsi="Tahoma" w:cs="Tahoma"/>
          <w:noProof/>
          <w:sz w:val="24"/>
          <w:szCs w:val="24"/>
        </w:rPr>
        <w:t xml:space="preserve"> </w:t>
      </w:r>
      <w:r>
        <w:rPr>
          <w:rFonts w:ascii="Tahoma" w:hAnsi="Tahoma" w:cs="Tahoma"/>
          <w:noProof/>
          <w:sz w:val="24"/>
          <w:szCs w:val="24"/>
        </w:rPr>
        <w:t>Although the data analysis hasn't been completed yet, it will be by the end of October 2024.</w:t>
      </w:r>
    </w:p>
    <w:p w14:paraId="5636A100" w14:textId="77777777" w:rsidR="002846E4" w:rsidRPr="002846E4" w:rsidRDefault="002846E4" w:rsidP="002846E4">
      <w:pPr>
        <w:spacing w:after="0" w:line="240" w:lineRule="auto"/>
        <w:jc w:val="both"/>
        <w:rPr>
          <w:rFonts w:ascii="Tahoma" w:hAnsi="Tahoma" w:cs="Tahoma"/>
          <w:sz w:val="16"/>
          <w:szCs w:val="16"/>
        </w:rPr>
      </w:pPr>
    </w:p>
    <w:p w14:paraId="335C0979" w14:textId="08CB68D3" w:rsidR="001D73FB" w:rsidRDefault="001D73FB" w:rsidP="002846E4">
      <w:pPr>
        <w:spacing w:after="0" w:line="240" w:lineRule="auto"/>
        <w:jc w:val="both"/>
        <w:rPr>
          <w:rFonts w:ascii="Tahoma" w:hAnsi="Tahoma" w:cs="Tahoma"/>
          <w:b/>
          <w:bCs/>
          <w:sz w:val="24"/>
          <w:szCs w:val="24"/>
        </w:rPr>
      </w:pPr>
      <w:r>
        <w:rPr>
          <w:rFonts w:ascii="Tahoma" w:hAnsi="Tahoma" w:cs="Tahoma"/>
          <w:b/>
          <w:bCs/>
          <w:sz w:val="24"/>
          <w:szCs w:val="24"/>
        </w:rPr>
        <w:t>Results:</w:t>
      </w:r>
    </w:p>
    <w:p w14:paraId="16B0A884" w14:textId="22623572" w:rsidR="002846E4" w:rsidRDefault="002846E4" w:rsidP="002846E4">
      <w:pPr>
        <w:spacing w:line="240" w:lineRule="auto"/>
        <w:jc w:val="both"/>
        <w:rPr>
          <w:rFonts w:ascii="Tahoma" w:hAnsi="Tahoma" w:cs="Tahoma"/>
          <w:sz w:val="24"/>
          <w:szCs w:val="24"/>
        </w:rPr>
      </w:pPr>
      <w:r>
        <w:rPr>
          <w:rFonts w:ascii="Tahoma" w:hAnsi="Tahoma" w:cs="Tahoma"/>
          <w:sz w:val="24"/>
          <w:szCs w:val="24"/>
        </w:rPr>
        <w:t>We do not have the final results at the time of the abstract submission. Based on the literature and previous findings, we are expecting to find:</w:t>
      </w:r>
    </w:p>
    <w:p w14:paraId="123D9AF6" w14:textId="77777777" w:rsidR="002846E4" w:rsidRDefault="002846E4" w:rsidP="002846E4">
      <w:pPr>
        <w:spacing w:line="240" w:lineRule="auto"/>
        <w:jc w:val="both"/>
        <w:rPr>
          <w:rFonts w:ascii="Tahoma" w:hAnsi="Tahoma" w:cs="Tahoma"/>
          <w:sz w:val="24"/>
          <w:szCs w:val="24"/>
        </w:rPr>
      </w:pPr>
      <w:r>
        <w:rPr>
          <w:rFonts w:ascii="Tahoma" w:hAnsi="Tahoma" w:cs="Tahoma"/>
          <w:sz w:val="24"/>
          <w:szCs w:val="24"/>
        </w:rPr>
        <w:t>- trends in HbA1C levels: some stable trajectories (CYP with low/moderate HbA1C level keeping low/moderate HbA1C levels over time), and some CYP having their HbA1C levels rising over time</w:t>
      </w:r>
    </w:p>
    <w:p w14:paraId="7E8128BC" w14:textId="2CA91D86" w:rsidR="002846E4" w:rsidRDefault="002846E4" w:rsidP="002846E4">
      <w:pPr>
        <w:spacing w:after="0" w:line="240" w:lineRule="auto"/>
        <w:jc w:val="both"/>
        <w:rPr>
          <w:rFonts w:ascii="Tahoma" w:hAnsi="Tahoma" w:cs="Tahoma"/>
          <w:sz w:val="24"/>
          <w:szCs w:val="24"/>
        </w:rPr>
      </w:pPr>
      <w:r>
        <w:rPr>
          <w:rFonts w:ascii="Tahoma" w:hAnsi="Tahoma" w:cs="Tahoma"/>
          <w:sz w:val="24"/>
          <w:szCs w:val="24"/>
        </w:rPr>
        <w:t>- factors linked with higher/raising HbA1C levels, such as gender, age at time of diagnosis, distance from hospital, appointment attendance.</w:t>
      </w:r>
    </w:p>
    <w:p w14:paraId="6EDE5F9D" w14:textId="6407043E" w:rsidR="002846E4" w:rsidRDefault="002846E4" w:rsidP="002846E4">
      <w:pPr>
        <w:spacing w:after="0" w:line="240" w:lineRule="auto"/>
        <w:jc w:val="both"/>
        <w:rPr>
          <w:rFonts w:ascii="Tahoma" w:hAnsi="Tahoma" w:cs="Tahoma"/>
          <w:sz w:val="24"/>
          <w:szCs w:val="24"/>
        </w:rPr>
      </w:pPr>
    </w:p>
    <w:p w14:paraId="7C3AA240" w14:textId="77777777" w:rsidR="002846E4" w:rsidRDefault="002846E4" w:rsidP="002846E4">
      <w:pPr>
        <w:spacing w:after="0" w:line="240" w:lineRule="auto"/>
        <w:jc w:val="both"/>
        <w:rPr>
          <w:rFonts w:ascii="Tahoma" w:hAnsi="Tahoma" w:cs="Tahoma"/>
          <w:sz w:val="24"/>
          <w:szCs w:val="24"/>
        </w:rPr>
      </w:pPr>
    </w:p>
    <w:p w14:paraId="03CE15AD" w14:textId="77777777" w:rsidR="002846E4" w:rsidRDefault="002846E4" w:rsidP="002846E4">
      <w:pPr>
        <w:spacing w:after="0" w:line="240" w:lineRule="auto"/>
        <w:jc w:val="both"/>
        <w:rPr>
          <w:rFonts w:ascii="Tahoma" w:hAnsi="Tahoma" w:cs="Tahoma"/>
          <w:b/>
          <w:bCs/>
          <w:sz w:val="24"/>
          <w:szCs w:val="24"/>
        </w:rPr>
      </w:pPr>
    </w:p>
    <w:p w14:paraId="79D016C6" w14:textId="4ADDF8E8" w:rsidR="001D73FB" w:rsidRDefault="001D73FB" w:rsidP="002846E4">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40A2BD50" w14:textId="3E458885" w:rsidR="002846E4" w:rsidRDefault="002846E4" w:rsidP="002846E4">
      <w:pPr>
        <w:spacing w:after="0" w:line="240" w:lineRule="auto"/>
        <w:jc w:val="both"/>
        <w:rPr>
          <w:rFonts w:ascii="Tahoma" w:hAnsi="Tahoma" w:cs="Tahoma"/>
          <w:b/>
          <w:bCs/>
          <w:sz w:val="24"/>
          <w:szCs w:val="24"/>
        </w:rPr>
      </w:pPr>
      <w:r>
        <w:rPr>
          <w:rFonts w:ascii="Tahoma" w:hAnsi="Tahoma" w:cs="Tahoma"/>
          <w:sz w:val="24"/>
          <w:szCs w:val="24"/>
        </w:rPr>
        <w:t>We are hoping that this study will provide some understanding regarding the higher HbA1C levels observed in CTM over the past years, which is a trend consistent with the wider all Wales data. Following the dissemination of the results, we are also hoping to consider how we may target our current resource to target CYP presenting more risk factors to have a poorer diabetes management, with the aim of improving their diabetes management and therefore their overall quality of life, also decreasing their risk of additional medical complications linked with their diabetes.</w:t>
      </w:r>
    </w:p>
    <w:p w14:paraId="52703BB1" w14:textId="77777777" w:rsidR="002846E4" w:rsidRDefault="002846E4" w:rsidP="00EF0E17">
      <w:pPr>
        <w:spacing w:after="0"/>
        <w:rPr>
          <w:rFonts w:ascii="Tahoma" w:hAnsi="Tahoma" w:cs="Tahoma"/>
          <w:b/>
          <w:bCs/>
          <w:sz w:val="24"/>
          <w:szCs w:val="24"/>
        </w:rPr>
      </w:pPr>
    </w:p>
    <w:sectPr w:rsidR="002846E4"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846E4"/>
    <w:rsid w:val="00312351"/>
    <w:rsid w:val="003378B3"/>
    <w:rsid w:val="00400A84"/>
    <w:rsid w:val="0073698D"/>
    <w:rsid w:val="007A6B4D"/>
    <w:rsid w:val="0084790E"/>
    <w:rsid w:val="00957516"/>
    <w:rsid w:val="00A70F30"/>
    <w:rsid w:val="00AC3303"/>
    <w:rsid w:val="00C62307"/>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487</Words>
  <Characters>2781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2024-11-06T16:41:00Z</dcterms:created>
  <dcterms:modified xsi:type="dcterms:W3CDTF">2024-11-22T09:30:00Z</dcterms:modified>
</cp:coreProperties>
</file>