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C747B4" w14:textId="4941AE9E" w:rsidR="00E86AEA" w:rsidRDefault="00400A84" w:rsidP="00400A84">
      <w:pPr>
        <w:jc w:val="center"/>
        <w:rPr>
          <w:noProof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77D4C03B" wp14:editId="54287644">
            <wp:simplePos x="0" y="0"/>
            <wp:positionH relativeFrom="page">
              <wp:align>center</wp:align>
            </wp:positionH>
            <wp:positionV relativeFrom="paragraph">
              <wp:posOffset>-6985</wp:posOffset>
            </wp:positionV>
            <wp:extent cx="3780995" cy="962025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80995" cy="9620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15566B9" w14:textId="697CD7C8" w:rsidR="00400A84" w:rsidRDefault="00400A84" w:rsidP="00400A84">
      <w:pPr>
        <w:jc w:val="center"/>
        <w:rPr>
          <w:noProof/>
        </w:rPr>
      </w:pPr>
    </w:p>
    <w:p w14:paraId="756F0279" w14:textId="3EBEE59A" w:rsidR="00400A84" w:rsidRDefault="00400A84" w:rsidP="00400A84">
      <w:pPr>
        <w:jc w:val="center"/>
        <w:rPr>
          <w:noProof/>
        </w:rPr>
      </w:pPr>
    </w:p>
    <w:p w14:paraId="3C7B1259" w14:textId="587BAC29" w:rsidR="00400A84" w:rsidRDefault="00400A84" w:rsidP="00400A84">
      <w:pPr>
        <w:jc w:val="center"/>
        <w:rPr>
          <w:noProof/>
        </w:rPr>
      </w:pPr>
    </w:p>
    <w:p w14:paraId="1B8873D8" w14:textId="1CA7596D" w:rsidR="00400A84" w:rsidRDefault="003378B3" w:rsidP="00400A84">
      <w:pPr>
        <w:jc w:val="center"/>
        <w:rPr>
          <w:rFonts w:ascii="Tahoma" w:hAnsi="Tahoma" w:cs="Tahoma"/>
          <w:b/>
          <w:bCs/>
          <w:noProof/>
          <w:color w:val="32598A"/>
          <w:sz w:val="32"/>
          <w:szCs w:val="32"/>
        </w:rPr>
      </w:pPr>
      <w:r>
        <w:rPr>
          <w:rFonts w:ascii="Tahoma" w:hAnsi="Tahoma" w:cs="Tahoma"/>
          <w:b/>
          <w:bCs/>
          <w:noProof/>
          <w:color w:val="32598A"/>
          <w:sz w:val="32"/>
          <w:szCs w:val="32"/>
        </w:rPr>
        <w:t>RESEARCH &amp; DEVELOPMENT CONFERENCE 2024</w:t>
      </w:r>
    </w:p>
    <w:p w14:paraId="5B1E7DD7" w14:textId="16D2FF25" w:rsidR="003378B3" w:rsidRDefault="003378B3" w:rsidP="00E0156E">
      <w:pPr>
        <w:spacing w:after="0"/>
        <w:rPr>
          <w:rFonts w:ascii="Tahoma" w:hAnsi="Tahoma" w:cs="Tahoma"/>
          <w:b/>
          <w:bCs/>
          <w:noProof/>
          <w:color w:val="32598A"/>
          <w:sz w:val="28"/>
          <w:szCs w:val="28"/>
        </w:rPr>
      </w:pPr>
      <w:r>
        <w:rPr>
          <w:rFonts w:ascii="Tahoma" w:hAnsi="Tahoma" w:cs="Tahoma"/>
          <w:b/>
          <w:bCs/>
          <w:noProof/>
          <w:color w:val="32598A"/>
          <w:sz w:val="28"/>
          <w:szCs w:val="28"/>
        </w:rPr>
        <w:t>POSTER PRESENTATION :</w:t>
      </w:r>
      <w:r w:rsidR="00FF57B3">
        <w:rPr>
          <w:rFonts w:ascii="Tahoma" w:hAnsi="Tahoma" w:cs="Tahoma"/>
          <w:b/>
          <w:bCs/>
          <w:noProof/>
          <w:color w:val="32598A"/>
          <w:sz w:val="28"/>
          <w:szCs w:val="28"/>
        </w:rPr>
        <w:t xml:space="preserve"> 27</w:t>
      </w:r>
    </w:p>
    <w:p w14:paraId="55FAD7A6" w14:textId="32DEEEF1" w:rsidR="00742502" w:rsidRDefault="00FF57B3" w:rsidP="00E0156E">
      <w:pPr>
        <w:spacing w:after="0"/>
        <w:rPr>
          <w:rFonts w:ascii="Tahoma" w:hAnsi="Tahoma" w:cs="Tahoma"/>
          <w:b/>
          <w:bCs/>
          <w:noProof/>
          <w:color w:val="32598A"/>
          <w:sz w:val="28"/>
          <w:szCs w:val="28"/>
        </w:rPr>
      </w:pPr>
      <w:sdt>
        <w:sdtPr>
          <w:rPr>
            <w:rFonts w:ascii="Tahoma" w:hAnsi="Tahoma" w:cs="Tahoma"/>
            <w:color w:val="000000"/>
            <w:sz w:val="24"/>
            <w:szCs w:val="24"/>
          </w:rPr>
          <w:id w:val="495000437"/>
          <w:placeholder>
            <w:docPart w:val="C69C63B7D8A441E8A550233772537FE3"/>
          </w:placeholder>
          <w:text/>
        </w:sdtPr>
        <w:sdtEndPr/>
        <w:sdtContent>
          <w:r w:rsidR="00AB6EC2" w:rsidRPr="008478A0">
            <w:rPr>
              <w:rFonts w:ascii="Tahoma" w:hAnsi="Tahoma" w:cs="Tahoma"/>
              <w:color w:val="000000"/>
              <w:sz w:val="24"/>
              <w:szCs w:val="24"/>
            </w:rPr>
            <w:t>Setting up a Dietetic Specialist Oncology Clinic</w:t>
          </w:r>
        </w:sdtContent>
      </w:sdt>
    </w:p>
    <w:p w14:paraId="2632ABD5" w14:textId="77777777" w:rsidR="00742502" w:rsidRPr="00742502" w:rsidRDefault="00742502" w:rsidP="00742502">
      <w:pPr>
        <w:spacing w:after="0"/>
        <w:rPr>
          <w:rFonts w:ascii="Tahoma" w:hAnsi="Tahoma" w:cs="Tahoma"/>
          <w:b/>
          <w:bCs/>
          <w:noProof/>
          <w:color w:val="32598A"/>
          <w:sz w:val="16"/>
          <w:szCs w:val="16"/>
        </w:rPr>
      </w:pPr>
    </w:p>
    <w:p w14:paraId="5CFA3287" w14:textId="05E66848" w:rsidR="003378B3" w:rsidRPr="00E0156E" w:rsidRDefault="003378B3" w:rsidP="003378B3">
      <w:pPr>
        <w:rPr>
          <w:rFonts w:ascii="Tahoma" w:hAnsi="Tahoma" w:cs="Tahoma"/>
          <w:noProof/>
          <w:sz w:val="24"/>
          <w:szCs w:val="24"/>
        </w:rPr>
      </w:pPr>
      <w:r w:rsidRPr="0073698D">
        <w:rPr>
          <w:rFonts w:ascii="Tahoma" w:hAnsi="Tahoma" w:cs="Tahoma"/>
          <w:b/>
          <w:bCs/>
          <w:noProof/>
          <w:color w:val="32598A"/>
          <w:sz w:val="28"/>
          <w:szCs w:val="28"/>
        </w:rPr>
        <w:t>Author/s:</w:t>
      </w:r>
      <w:r w:rsidR="00E0156E">
        <w:rPr>
          <w:rFonts w:ascii="Tahoma" w:hAnsi="Tahoma" w:cs="Tahoma"/>
          <w:b/>
          <w:bCs/>
          <w:noProof/>
          <w:color w:val="32598A"/>
          <w:sz w:val="28"/>
          <w:szCs w:val="28"/>
        </w:rPr>
        <w:t xml:space="preserve"> </w:t>
      </w:r>
      <w:sdt>
        <w:sdtPr>
          <w:rPr>
            <w:rFonts w:ascii="Tahoma" w:hAnsi="Tahoma" w:cs="Tahoma"/>
            <w:sz w:val="24"/>
            <w:szCs w:val="24"/>
          </w:rPr>
          <w:id w:val="478892902"/>
          <w:placeholder>
            <w:docPart w:val="A0762FD858F74E918D1970911C12E5AD"/>
          </w:placeholder>
          <w:text/>
        </w:sdtPr>
        <w:sdtEndPr/>
        <w:sdtContent>
          <w:r w:rsidR="00742502" w:rsidRPr="00617D04">
            <w:rPr>
              <w:rFonts w:ascii="Tahoma" w:hAnsi="Tahoma" w:cs="Tahoma"/>
              <w:sz w:val="24"/>
              <w:szCs w:val="24"/>
            </w:rPr>
            <w:t>Hoidge Hughes</w:t>
          </w:r>
          <w:r w:rsidR="00742502">
            <w:rPr>
              <w:rFonts w:ascii="Tahoma" w:hAnsi="Tahoma" w:cs="Tahoma"/>
              <w:sz w:val="24"/>
              <w:szCs w:val="24"/>
            </w:rPr>
            <w:t>, S.</w:t>
          </w:r>
          <w:r w:rsidR="00AB6EC2">
            <w:rPr>
              <w:rFonts w:ascii="Tahoma" w:hAnsi="Tahoma" w:cs="Tahoma"/>
              <w:sz w:val="24"/>
              <w:szCs w:val="24"/>
            </w:rPr>
            <w:t>,</w:t>
          </w:r>
        </w:sdtContent>
      </w:sdt>
      <w:r w:rsidR="00AB6EC2" w:rsidRPr="00AB6EC2">
        <w:rPr>
          <w:rFonts w:ascii="Tahoma" w:hAnsi="Tahoma" w:cs="Tahoma"/>
          <w:sz w:val="24"/>
          <w:szCs w:val="24"/>
        </w:rPr>
        <w:t xml:space="preserve"> </w:t>
      </w:r>
      <w:sdt>
        <w:sdtPr>
          <w:rPr>
            <w:rFonts w:ascii="Tahoma" w:hAnsi="Tahoma" w:cs="Tahoma"/>
            <w:sz w:val="24"/>
            <w:szCs w:val="24"/>
          </w:rPr>
          <w:id w:val="-1002514772"/>
          <w:placeholder>
            <w:docPart w:val="19B070BB25A6465C89FB7E4111E47A19"/>
          </w:placeholder>
          <w:text/>
        </w:sdtPr>
        <w:sdtEndPr/>
        <w:sdtContent>
          <w:r w:rsidR="00AB6EC2" w:rsidRPr="00617D04">
            <w:rPr>
              <w:rFonts w:ascii="Tahoma" w:hAnsi="Tahoma" w:cs="Tahoma"/>
              <w:sz w:val="24"/>
              <w:szCs w:val="24"/>
            </w:rPr>
            <w:t>Richards</w:t>
          </w:r>
        </w:sdtContent>
      </w:sdt>
      <w:r w:rsidR="00AB6EC2">
        <w:rPr>
          <w:rFonts w:ascii="Tahoma" w:hAnsi="Tahoma" w:cs="Tahoma"/>
          <w:sz w:val="24"/>
          <w:szCs w:val="24"/>
        </w:rPr>
        <w:t>, S.</w:t>
      </w:r>
    </w:p>
    <w:p w14:paraId="0EF06F1D" w14:textId="3FC1F048" w:rsidR="0073698D" w:rsidRDefault="0073698D" w:rsidP="003378B3">
      <w:pPr>
        <w:rPr>
          <w:rFonts w:ascii="Tahoma" w:hAnsi="Tahoma" w:cs="Tahoma"/>
          <w:b/>
          <w:bCs/>
          <w:noProof/>
          <w:color w:val="32598A"/>
          <w:sz w:val="28"/>
          <w:szCs w:val="28"/>
        </w:rPr>
      </w:pPr>
      <w:r>
        <w:rPr>
          <w:rFonts w:ascii="Tahoma" w:hAnsi="Tahoma" w:cs="Tahoma"/>
          <w:b/>
          <w:bCs/>
          <w:noProof/>
          <w:color w:val="32598A"/>
          <w:sz w:val="28"/>
          <w:szCs w:val="28"/>
        </w:rPr>
        <w:t>Department:</w:t>
      </w:r>
      <w:r w:rsidR="00742502" w:rsidRPr="00742502">
        <w:rPr>
          <w:rFonts w:ascii="Tahoma" w:hAnsi="Tahoma" w:cs="Tahoma"/>
          <w:sz w:val="24"/>
          <w:szCs w:val="24"/>
        </w:rPr>
        <w:t xml:space="preserve"> </w:t>
      </w:r>
      <w:sdt>
        <w:sdtPr>
          <w:rPr>
            <w:rFonts w:ascii="Tahoma" w:hAnsi="Tahoma" w:cs="Tahoma"/>
            <w:sz w:val="24"/>
            <w:szCs w:val="24"/>
          </w:rPr>
          <w:id w:val="-2038336652"/>
          <w:placeholder>
            <w:docPart w:val="F9EE8C7210C34BD88F40934913FB0DBD"/>
          </w:placeholder>
          <w:text/>
        </w:sdtPr>
        <w:sdtEndPr/>
        <w:sdtContent>
          <w:r w:rsidR="00742502" w:rsidRPr="00617D04">
            <w:rPr>
              <w:rFonts w:ascii="Tahoma" w:hAnsi="Tahoma" w:cs="Tahoma"/>
              <w:sz w:val="24"/>
              <w:szCs w:val="24"/>
            </w:rPr>
            <w:t>Nutrition and Dietetics</w:t>
          </w:r>
        </w:sdtContent>
      </w:sdt>
      <w:r w:rsidR="00742502">
        <w:rPr>
          <w:rFonts w:ascii="Tahoma" w:hAnsi="Tahoma" w:cs="Tahoma"/>
          <w:sz w:val="24"/>
          <w:szCs w:val="24"/>
        </w:rPr>
        <w:t xml:space="preserve">, </w:t>
      </w:r>
      <w:sdt>
        <w:sdtPr>
          <w:rPr>
            <w:rFonts w:ascii="Tahoma" w:hAnsi="Tahoma" w:cs="Tahoma"/>
            <w:sz w:val="24"/>
            <w:szCs w:val="24"/>
          </w:rPr>
          <w:id w:val="2089962625"/>
          <w:placeholder>
            <w:docPart w:val="5E5147DAE56A4F52A46B23DE0E312F73"/>
          </w:placeholder>
          <w:text/>
        </w:sdtPr>
        <w:sdtEndPr/>
        <w:sdtContent>
          <w:r w:rsidR="00742502" w:rsidRPr="00617D04">
            <w:rPr>
              <w:rFonts w:ascii="Tahoma" w:hAnsi="Tahoma" w:cs="Tahoma"/>
              <w:sz w:val="24"/>
              <w:szCs w:val="24"/>
            </w:rPr>
            <w:t>Cwm Taf Morgannwg University Health Board</w:t>
          </w:r>
        </w:sdtContent>
      </w:sdt>
    </w:p>
    <w:p w14:paraId="5C2DF48A" w14:textId="77777777" w:rsidR="001D73FB" w:rsidRPr="00101A21" w:rsidRDefault="001D73FB" w:rsidP="001D73FB">
      <w:pPr>
        <w:shd w:val="clear" w:color="auto" w:fill="32598A"/>
        <w:rPr>
          <w:color w:val="0066CC"/>
        </w:rPr>
      </w:pPr>
    </w:p>
    <w:p w14:paraId="242E38CE" w14:textId="6A1848E7" w:rsidR="00742502" w:rsidRDefault="00742502" w:rsidP="00AB6EC2">
      <w:pPr>
        <w:spacing w:after="0" w:line="240" w:lineRule="auto"/>
        <w:jc w:val="both"/>
        <w:rPr>
          <w:rFonts w:ascii="Tahoma" w:hAnsi="Tahoma" w:cs="Tahoma"/>
          <w:b/>
          <w:bCs/>
          <w:sz w:val="24"/>
          <w:szCs w:val="24"/>
        </w:rPr>
      </w:pPr>
      <w:r>
        <w:rPr>
          <w:rFonts w:ascii="Tahoma" w:hAnsi="Tahoma" w:cs="Tahoma"/>
          <w:b/>
          <w:bCs/>
          <w:sz w:val="24"/>
          <w:szCs w:val="24"/>
        </w:rPr>
        <w:t>Introduction:</w:t>
      </w:r>
    </w:p>
    <w:p w14:paraId="40B1B470" w14:textId="7C640373" w:rsidR="00AB6EC2" w:rsidRDefault="00FF57B3" w:rsidP="00AB6EC2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sdt>
        <w:sdtPr>
          <w:rPr>
            <w:rFonts w:ascii="Tahoma" w:hAnsi="Tahoma" w:cs="Tahoma"/>
            <w:sz w:val="24"/>
            <w:szCs w:val="24"/>
            <w:lang w:eastAsia="en-GB"/>
          </w:rPr>
          <w:id w:val="-1126613510"/>
          <w:placeholder>
            <w:docPart w:val="1227881E43D649B7838D4973E6142E26"/>
          </w:placeholder>
          <w:text/>
        </w:sdtPr>
        <w:sdtEndPr/>
        <w:sdtContent>
          <w:r w:rsidR="00AB6EC2" w:rsidRPr="008478A0">
            <w:rPr>
              <w:rFonts w:ascii="Tahoma" w:hAnsi="Tahoma" w:cs="Tahoma"/>
              <w:sz w:val="24"/>
              <w:szCs w:val="24"/>
              <w:lang w:eastAsia="en-GB"/>
            </w:rPr>
            <w:t>It is known that nutritional status improves tolerance to treatment</w:t>
          </w:r>
          <w:r w:rsidR="00AB6EC2">
            <w:rPr>
              <w:rFonts w:ascii="Tahoma" w:hAnsi="Tahoma" w:cs="Tahoma"/>
              <w:sz w:val="24"/>
              <w:szCs w:val="24"/>
              <w:lang w:eastAsia="en-GB"/>
            </w:rPr>
            <w:t>, outcome, quality of life</w:t>
          </w:r>
          <w:r w:rsidR="00AB6EC2" w:rsidRPr="008478A0">
            <w:rPr>
              <w:rFonts w:ascii="Tahoma" w:hAnsi="Tahoma" w:cs="Tahoma"/>
              <w:sz w:val="24"/>
              <w:szCs w:val="24"/>
              <w:lang w:eastAsia="en-GB"/>
            </w:rPr>
            <w:t xml:space="preserve"> and reduces length of stay in oncology patients. Specialist Oncology Dietitians are experts at guiding patients and care givers through nutritional process maximising nutrit</w:t>
          </w:r>
          <w:r w:rsidR="00AB6EC2">
            <w:rPr>
              <w:rFonts w:ascii="Tahoma" w:hAnsi="Tahoma" w:cs="Tahoma"/>
              <w:sz w:val="24"/>
              <w:szCs w:val="24"/>
              <w:lang w:eastAsia="en-GB"/>
            </w:rPr>
            <w:t>ional status in cancer patients</w:t>
          </w:r>
          <w:r w:rsidR="00AB6EC2" w:rsidRPr="008478A0">
            <w:rPr>
              <w:rFonts w:ascii="Tahoma" w:hAnsi="Tahoma" w:cs="Tahoma"/>
              <w:sz w:val="24"/>
              <w:szCs w:val="24"/>
              <w:lang w:eastAsia="en-GB"/>
            </w:rPr>
            <w:t xml:space="preserve">. </w:t>
          </w:r>
        </w:sdtContent>
      </w:sdt>
    </w:p>
    <w:p w14:paraId="118BF08B" w14:textId="77777777" w:rsidR="00AB6EC2" w:rsidRPr="00AB6EC2" w:rsidRDefault="00AB6EC2" w:rsidP="00AB6EC2">
      <w:pPr>
        <w:spacing w:after="0" w:line="240" w:lineRule="auto"/>
        <w:jc w:val="both"/>
        <w:rPr>
          <w:rFonts w:ascii="Tahoma" w:hAnsi="Tahoma" w:cs="Tahoma"/>
          <w:b/>
          <w:bCs/>
          <w:sz w:val="16"/>
          <w:szCs w:val="16"/>
        </w:rPr>
      </w:pPr>
    </w:p>
    <w:p w14:paraId="7348F163" w14:textId="5F2051FC" w:rsidR="001D73FB" w:rsidRDefault="001D73FB" w:rsidP="00AB6EC2">
      <w:pPr>
        <w:spacing w:after="0" w:line="240" w:lineRule="auto"/>
        <w:jc w:val="both"/>
        <w:rPr>
          <w:rFonts w:ascii="Tahoma" w:hAnsi="Tahoma" w:cs="Tahoma"/>
          <w:b/>
          <w:bCs/>
          <w:sz w:val="24"/>
          <w:szCs w:val="24"/>
        </w:rPr>
      </w:pPr>
      <w:r>
        <w:rPr>
          <w:rFonts w:ascii="Tahoma" w:hAnsi="Tahoma" w:cs="Tahoma"/>
          <w:b/>
          <w:bCs/>
          <w:sz w:val="24"/>
          <w:szCs w:val="24"/>
        </w:rPr>
        <w:t>Aim:</w:t>
      </w:r>
    </w:p>
    <w:p w14:paraId="75F61B2B" w14:textId="25C34865" w:rsidR="00AB6EC2" w:rsidRDefault="00FF57B3" w:rsidP="00AB6EC2">
      <w:pPr>
        <w:spacing w:after="0" w:line="240" w:lineRule="auto"/>
        <w:jc w:val="both"/>
        <w:rPr>
          <w:rFonts w:ascii="Tahoma" w:hAnsi="Tahoma" w:cs="Tahoma"/>
          <w:b/>
          <w:bCs/>
          <w:sz w:val="24"/>
          <w:szCs w:val="24"/>
        </w:rPr>
      </w:pPr>
      <w:sdt>
        <w:sdtPr>
          <w:rPr>
            <w:rFonts w:ascii="Tahoma" w:hAnsi="Tahoma" w:cs="Tahoma"/>
            <w:sz w:val="24"/>
            <w:szCs w:val="24"/>
            <w:lang w:eastAsia="en-GB"/>
          </w:rPr>
          <w:id w:val="-1420635517"/>
          <w:placeholder>
            <w:docPart w:val="50978356E4154DD6A3EECCEA3DB28C6A"/>
          </w:placeholder>
          <w:text/>
        </w:sdtPr>
        <w:sdtEndPr/>
        <w:sdtContent>
          <w:r w:rsidR="00AB6EC2" w:rsidRPr="0080388F">
            <w:rPr>
              <w:rFonts w:ascii="Tahoma" w:hAnsi="Tahoma" w:cs="Tahoma"/>
              <w:sz w:val="24"/>
              <w:szCs w:val="24"/>
              <w:lang w:eastAsia="en-GB"/>
            </w:rPr>
            <w:t xml:space="preserve">The aim </w:t>
          </w:r>
          <w:r w:rsidR="00AB6EC2">
            <w:rPr>
              <w:rFonts w:ascii="Tahoma" w:hAnsi="Tahoma" w:cs="Tahoma"/>
              <w:sz w:val="24"/>
              <w:szCs w:val="24"/>
              <w:lang w:eastAsia="en-GB"/>
            </w:rPr>
            <w:t>is t</w:t>
          </w:r>
          <w:r w:rsidR="00AB6EC2" w:rsidRPr="0080388F">
            <w:rPr>
              <w:rFonts w:ascii="Tahoma" w:hAnsi="Tahoma" w:cs="Tahoma"/>
              <w:sz w:val="24"/>
              <w:szCs w:val="24"/>
              <w:lang w:eastAsia="en-GB"/>
            </w:rPr>
            <w:t>o offer oncology patients requiring nutrition support access to a Specialist Oncology Clinic (SOC) in &lt;4 weeks from triage</w:t>
          </w:r>
          <w:r w:rsidR="00AB6EC2">
            <w:rPr>
              <w:rFonts w:ascii="Tahoma" w:hAnsi="Tahoma" w:cs="Tahoma"/>
              <w:sz w:val="24"/>
              <w:szCs w:val="24"/>
              <w:lang w:eastAsia="en-GB"/>
            </w:rPr>
            <w:t xml:space="preserve"> </w:t>
          </w:r>
          <w:r w:rsidR="00AB6EC2" w:rsidRPr="0080388F">
            <w:rPr>
              <w:rFonts w:ascii="Tahoma" w:hAnsi="Tahoma" w:cs="Tahoma"/>
              <w:sz w:val="24"/>
              <w:szCs w:val="24"/>
              <w:lang w:eastAsia="en-GB"/>
            </w:rPr>
            <w:t>with the option of face to face (F2F), attend anywhere (AA) or virtual telephone clinic with a Specialist Oncology Dietitian.</w:t>
          </w:r>
        </w:sdtContent>
      </w:sdt>
    </w:p>
    <w:p w14:paraId="20830980" w14:textId="77777777" w:rsidR="00AB6EC2" w:rsidRPr="00AB6EC2" w:rsidRDefault="00AB6EC2" w:rsidP="00AB6EC2">
      <w:pPr>
        <w:spacing w:after="0" w:line="240" w:lineRule="auto"/>
        <w:jc w:val="both"/>
        <w:rPr>
          <w:rFonts w:ascii="Tahoma" w:hAnsi="Tahoma" w:cs="Tahoma"/>
          <w:b/>
          <w:bCs/>
          <w:sz w:val="16"/>
          <w:szCs w:val="16"/>
        </w:rPr>
      </w:pPr>
    </w:p>
    <w:p w14:paraId="4F0C03D1" w14:textId="20487581" w:rsidR="001D73FB" w:rsidRDefault="001D73FB" w:rsidP="00AB6EC2">
      <w:pPr>
        <w:spacing w:after="0" w:line="240" w:lineRule="auto"/>
        <w:jc w:val="both"/>
        <w:rPr>
          <w:rFonts w:ascii="Tahoma" w:hAnsi="Tahoma" w:cs="Tahoma"/>
          <w:b/>
          <w:bCs/>
          <w:sz w:val="24"/>
          <w:szCs w:val="24"/>
        </w:rPr>
      </w:pPr>
      <w:r>
        <w:rPr>
          <w:rFonts w:ascii="Tahoma" w:hAnsi="Tahoma" w:cs="Tahoma"/>
          <w:b/>
          <w:bCs/>
          <w:sz w:val="24"/>
          <w:szCs w:val="24"/>
        </w:rPr>
        <w:t>Methodology</w:t>
      </w:r>
      <w:r w:rsidR="00EF0E17">
        <w:rPr>
          <w:rFonts w:ascii="Tahoma" w:hAnsi="Tahoma" w:cs="Tahoma"/>
          <w:b/>
          <w:bCs/>
          <w:sz w:val="24"/>
          <w:szCs w:val="24"/>
        </w:rPr>
        <w:t>:</w:t>
      </w:r>
    </w:p>
    <w:p w14:paraId="16D09209" w14:textId="252C4E36" w:rsidR="00AB6EC2" w:rsidRDefault="00FF57B3" w:rsidP="00AB6EC2">
      <w:pPr>
        <w:spacing w:after="0" w:line="240" w:lineRule="auto"/>
        <w:jc w:val="both"/>
        <w:rPr>
          <w:rFonts w:ascii="Tahoma" w:hAnsi="Tahoma" w:cs="Tahoma"/>
          <w:b/>
          <w:bCs/>
          <w:sz w:val="24"/>
          <w:szCs w:val="24"/>
        </w:rPr>
      </w:pPr>
      <w:sdt>
        <w:sdtPr>
          <w:rPr>
            <w:rFonts w:ascii="Tahoma" w:hAnsi="Tahoma" w:cs="Tahoma"/>
            <w:sz w:val="24"/>
            <w:szCs w:val="24"/>
            <w:lang w:eastAsia="en-GB"/>
          </w:rPr>
          <w:id w:val="785011412"/>
          <w:placeholder>
            <w:docPart w:val="E011AEDC939F47F482177C991AA17891"/>
          </w:placeholder>
          <w:text/>
        </w:sdtPr>
        <w:sdtEndPr/>
        <w:sdtContent>
          <w:r w:rsidR="00AB6EC2" w:rsidRPr="0080388F">
            <w:rPr>
              <w:rFonts w:ascii="Tahoma" w:hAnsi="Tahoma" w:cs="Tahoma"/>
              <w:sz w:val="24"/>
              <w:szCs w:val="24"/>
              <w:lang w:eastAsia="en-GB"/>
            </w:rPr>
            <w:t>Oncology patients who were referred into core dietetics for nutrition support advice, are triaged into the SOC. A clinic room was secured across 4 sites, providing equitable patient centred care, enabling F2F consultations weekly. Due to the fast nature of these clinics, patients are telephoned and booked into the next available clinic slot as a letter may not arrive in time. Outcome measures were collected including Strength, Assistance walking, Rising from chair, Climbing stairs, and falls (SARC-F), Malnutrition Universal Screening Tool (MUST) and percentage weight loss to screen for malnutrition and sarcopenia risk.</w:t>
          </w:r>
        </w:sdtContent>
      </w:sdt>
    </w:p>
    <w:p w14:paraId="419DFD82" w14:textId="77777777" w:rsidR="00742502" w:rsidRPr="00AB6EC2" w:rsidRDefault="00742502" w:rsidP="00AB6EC2">
      <w:pPr>
        <w:spacing w:after="0" w:line="240" w:lineRule="auto"/>
        <w:ind w:left="426"/>
        <w:jc w:val="both"/>
        <w:rPr>
          <w:rFonts w:ascii="Tahoma" w:hAnsi="Tahoma" w:cs="Tahoma"/>
          <w:sz w:val="16"/>
          <w:szCs w:val="16"/>
        </w:rPr>
      </w:pPr>
    </w:p>
    <w:p w14:paraId="0FD7052A" w14:textId="77777777" w:rsidR="00AB6EC2" w:rsidRDefault="001D73FB" w:rsidP="00AB6EC2">
      <w:pPr>
        <w:spacing w:after="0" w:line="240" w:lineRule="auto"/>
        <w:jc w:val="both"/>
        <w:rPr>
          <w:rFonts w:ascii="Tahoma" w:hAnsi="Tahoma" w:cs="Tahoma"/>
          <w:b/>
          <w:bCs/>
          <w:sz w:val="24"/>
          <w:szCs w:val="24"/>
        </w:rPr>
      </w:pPr>
      <w:r>
        <w:rPr>
          <w:rFonts w:ascii="Tahoma" w:hAnsi="Tahoma" w:cs="Tahoma"/>
          <w:b/>
          <w:bCs/>
          <w:sz w:val="24"/>
          <w:szCs w:val="24"/>
        </w:rPr>
        <w:t>Results:</w:t>
      </w:r>
    </w:p>
    <w:p w14:paraId="2B8699A3" w14:textId="65C0BCCF" w:rsidR="00AB6EC2" w:rsidRDefault="00FF57B3" w:rsidP="00AB6EC2">
      <w:pPr>
        <w:spacing w:after="0" w:line="240" w:lineRule="auto"/>
        <w:jc w:val="both"/>
        <w:rPr>
          <w:rFonts w:ascii="Tahoma" w:hAnsi="Tahoma" w:cs="Tahoma"/>
          <w:b/>
          <w:bCs/>
          <w:sz w:val="24"/>
          <w:szCs w:val="24"/>
        </w:rPr>
      </w:pPr>
      <w:sdt>
        <w:sdtPr>
          <w:rPr>
            <w:rFonts w:ascii="Tahoma" w:hAnsi="Tahoma" w:cs="Tahoma"/>
            <w:sz w:val="24"/>
            <w:szCs w:val="24"/>
            <w:lang w:eastAsia="en-GB"/>
          </w:rPr>
          <w:id w:val="-2081054370"/>
          <w:placeholder>
            <w:docPart w:val="C0CE6B9DFE594082B96591A42D658DA1"/>
          </w:placeholder>
          <w:text/>
        </w:sdtPr>
        <w:sdtEndPr/>
        <w:sdtContent>
          <w:r w:rsidR="00AB6EC2" w:rsidRPr="0080388F">
            <w:rPr>
              <w:rFonts w:ascii="Tahoma" w:hAnsi="Tahoma" w:cs="Tahoma"/>
              <w:sz w:val="24"/>
              <w:szCs w:val="24"/>
              <w:lang w:eastAsia="en-GB"/>
            </w:rPr>
            <w:t>With the first 6 months, 42 patients were seen in the SOC with an average of 4 patients per week. The majority of the patients were gynaecological, with upper gastrointestinal, lung and colorectal cancers closely behind. 45% of referrals came from cancer nurse specialists (CNS), 26% from general practitioners (GPs), 26% Dietitians, 3% consultants. 81% of patients scored a MUST of ≥1 which indicates a medium risk of malnutrition, with 62% of these scoring ≥2 indicating a high risk of malnutrition.</w:t>
          </w:r>
          <w:r w:rsidR="00AB6EC2">
            <w:rPr>
              <w:rFonts w:ascii="Tahoma" w:hAnsi="Tahoma" w:cs="Tahoma"/>
              <w:sz w:val="24"/>
              <w:szCs w:val="24"/>
              <w:lang w:eastAsia="en-GB"/>
            </w:rPr>
            <w:t xml:space="preserve"> </w:t>
          </w:r>
          <w:r w:rsidR="00AB6EC2" w:rsidRPr="0080388F">
            <w:rPr>
              <w:rFonts w:ascii="Tahoma" w:hAnsi="Tahoma" w:cs="Tahoma"/>
              <w:sz w:val="24"/>
              <w:szCs w:val="24"/>
              <w:lang w:eastAsia="en-GB"/>
            </w:rPr>
            <w:t>25% of patients scored 4 or above on the SARC-F screening tool,</w:t>
          </w:r>
          <w:r w:rsidR="00AB6EC2">
            <w:rPr>
              <w:rFonts w:ascii="Tahoma" w:hAnsi="Tahoma" w:cs="Tahoma"/>
              <w:sz w:val="24"/>
              <w:szCs w:val="24"/>
              <w:lang w:eastAsia="en-GB"/>
            </w:rPr>
            <w:t xml:space="preserve"> </w:t>
          </w:r>
          <w:r w:rsidR="00AB6EC2" w:rsidRPr="0080388F">
            <w:rPr>
              <w:rFonts w:ascii="Tahoma" w:hAnsi="Tahoma" w:cs="Tahoma"/>
              <w:sz w:val="24"/>
              <w:szCs w:val="24"/>
              <w:lang w:eastAsia="en-GB"/>
            </w:rPr>
            <w:t>indicating a high risk of sarcopenia.</w:t>
          </w:r>
          <w:r w:rsidR="00AB6EC2">
            <w:rPr>
              <w:rFonts w:ascii="Tahoma" w:hAnsi="Tahoma" w:cs="Tahoma"/>
              <w:sz w:val="24"/>
              <w:szCs w:val="24"/>
              <w:lang w:eastAsia="en-GB"/>
            </w:rPr>
            <w:t xml:space="preserve"> </w:t>
          </w:r>
          <w:r w:rsidR="00AB6EC2" w:rsidRPr="0080388F">
            <w:rPr>
              <w:rFonts w:ascii="Tahoma" w:hAnsi="Tahoma" w:cs="Tahoma"/>
              <w:sz w:val="24"/>
              <w:szCs w:val="24"/>
              <w:lang w:eastAsia="en-GB"/>
            </w:rPr>
            <w:t>71% of patients had experienced over 5% weight loss which is classed as significant with an average weight loss of 11.7%.</w:t>
          </w:r>
        </w:sdtContent>
      </w:sdt>
    </w:p>
    <w:p w14:paraId="3A6E2FD3" w14:textId="77777777" w:rsidR="00AB6EC2" w:rsidRPr="00AB6EC2" w:rsidRDefault="00AB6EC2" w:rsidP="00AB6EC2">
      <w:pPr>
        <w:spacing w:after="0" w:line="240" w:lineRule="auto"/>
        <w:jc w:val="both"/>
        <w:rPr>
          <w:rFonts w:ascii="Tahoma" w:hAnsi="Tahoma" w:cs="Tahoma"/>
          <w:b/>
          <w:bCs/>
          <w:sz w:val="16"/>
          <w:szCs w:val="16"/>
        </w:rPr>
      </w:pPr>
    </w:p>
    <w:p w14:paraId="79D016C6" w14:textId="48C5D490" w:rsidR="001D73FB" w:rsidRDefault="001D73FB" w:rsidP="00AB6EC2">
      <w:pPr>
        <w:spacing w:after="0" w:line="240" w:lineRule="auto"/>
        <w:jc w:val="both"/>
        <w:rPr>
          <w:rFonts w:ascii="Tahoma" w:hAnsi="Tahoma" w:cs="Tahoma"/>
          <w:b/>
          <w:bCs/>
          <w:sz w:val="24"/>
          <w:szCs w:val="24"/>
        </w:rPr>
      </w:pPr>
      <w:r>
        <w:rPr>
          <w:rFonts w:ascii="Tahoma" w:hAnsi="Tahoma" w:cs="Tahoma"/>
          <w:b/>
          <w:bCs/>
          <w:sz w:val="24"/>
          <w:szCs w:val="24"/>
        </w:rPr>
        <w:t>Conclusion:</w:t>
      </w:r>
    </w:p>
    <w:p w14:paraId="6FA63500" w14:textId="77777777" w:rsidR="00AB6EC2" w:rsidRPr="008478A0" w:rsidRDefault="00FF57B3" w:rsidP="00AB6EC2">
      <w:pPr>
        <w:spacing w:line="240" w:lineRule="auto"/>
        <w:jc w:val="both"/>
        <w:rPr>
          <w:rFonts w:ascii="Tahoma" w:hAnsi="Tahoma" w:cs="Tahoma"/>
          <w:sz w:val="28"/>
          <w:szCs w:val="28"/>
        </w:rPr>
      </w:pPr>
      <w:sdt>
        <w:sdtPr>
          <w:rPr>
            <w:rFonts w:ascii="Tahoma" w:hAnsi="Tahoma" w:cs="Tahoma"/>
            <w:sz w:val="24"/>
            <w:szCs w:val="24"/>
            <w:lang w:eastAsia="en-GB"/>
          </w:rPr>
          <w:id w:val="1710290598"/>
          <w:placeholder>
            <w:docPart w:val="3DDA2848CC1D4F07B00059A03B1B28B2"/>
          </w:placeholder>
          <w:text/>
        </w:sdtPr>
        <w:sdtEndPr/>
        <w:sdtContent>
          <w:r w:rsidR="00AB6EC2" w:rsidRPr="0080388F">
            <w:rPr>
              <w:rFonts w:ascii="Tahoma" w:hAnsi="Tahoma" w:cs="Tahoma"/>
              <w:sz w:val="24"/>
              <w:szCs w:val="24"/>
              <w:lang w:eastAsia="en-GB"/>
            </w:rPr>
            <w:t>The data has shown that overall, 26% of the patients seen in the SOC were at high risk of sarcopenia and 81% were at medium to high risk of malnutrition. Therefore, it is important that these patients are seen for nutritional intervention promptly to maximise their nutritional status and improve their outcomes.</w:t>
          </w:r>
          <w:r w:rsidR="00AB6EC2">
            <w:rPr>
              <w:rFonts w:ascii="Tahoma" w:hAnsi="Tahoma" w:cs="Tahoma"/>
              <w:sz w:val="24"/>
              <w:szCs w:val="24"/>
              <w:lang w:eastAsia="en-GB"/>
            </w:rPr>
            <w:t xml:space="preserve"> </w:t>
          </w:r>
          <w:r w:rsidR="00AB6EC2" w:rsidRPr="0080388F">
            <w:rPr>
              <w:rFonts w:ascii="Tahoma" w:hAnsi="Tahoma" w:cs="Tahoma"/>
              <w:sz w:val="24"/>
              <w:szCs w:val="24"/>
              <w:lang w:eastAsia="en-GB"/>
            </w:rPr>
            <w:t>The SOC has a much shorter waiting time than our general clinics, with an average of 9 days.</w:t>
          </w:r>
        </w:sdtContent>
      </w:sdt>
    </w:p>
    <w:p w14:paraId="6878717A" w14:textId="77777777" w:rsidR="00AB6EC2" w:rsidRDefault="00AB6EC2" w:rsidP="00AF0D9B">
      <w:pPr>
        <w:spacing w:after="0" w:line="240" w:lineRule="auto"/>
        <w:jc w:val="both"/>
        <w:rPr>
          <w:rFonts w:ascii="Tahoma" w:hAnsi="Tahoma" w:cs="Tahoma"/>
          <w:b/>
          <w:bCs/>
          <w:sz w:val="24"/>
          <w:szCs w:val="24"/>
        </w:rPr>
      </w:pPr>
    </w:p>
    <w:sectPr w:rsidR="00AB6EC2" w:rsidSect="00400A84">
      <w:pgSz w:w="11906" w:h="16838"/>
      <w:pgMar w:top="851" w:right="707" w:bottom="284" w:left="851" w:header="708" w:footer="708" w:gutter="0"/>
      <w:pgBorders w:offsetFrom="page">
        <w:top w:val="single" w:sz="18" w:space="24" w:color="32598A"/>
        <w:left w:val="single" w:sz="18" w:space="24" w:color="32598A"/>
        <w:bottom w:val="single" w:sz="18" w:space="24" w:color="32598A"/>
        <w:right w:val="single" w:sz="18" w:space="24" w:color="32598A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609638B"/>
    <w:multiLevelType w:val="hybridMultilevel"/>
    <w:tmpl w:val="4C70BA16"/>
    <w:lvl w:ilvl="0" w:tplc="656C388E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  <w:lvl w:ilvl="1" w:tplc="176AC238" w:tentative="1">
      <w:start w:val="1"/>
      <w:numFmt w:val="decimal"/>
      <w:lvlText w:val="%2."/>
      <w:lvlJc w:val="left"/>
      <w:pPr>
        <w:tabs>
          <w:tab w:val="num" w:pos="1364"/>
        </w:tabs>
        <w:ind w:left="1364" w:hanging="360"/>
      </w:pPr>
    </w:lvl>
    <w:lvl w:ilvl="2" w:tplc="81725DE8" w:tentative="1">
      <w:start w:val="1"/>
      <w:numFmt w:val="decimal"/>
      <w:lvlText w:val="%3."/>
      <w:lvlJc w:val="left"/>
      <w:pPr>
        <w:tabs>
          <w:tab w:val="num" w:pos="2084"/>
        </w:tabs>
        <w:ind w:left="2084" w:hanging="360"/>
      </w:pPr>
    </w:lvl>
    <w:lvl w:ilvl="3" w:tplc="E5E8A8BE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29C6FDBC" w:tentative="1">
      <w:start w:val="1"/>
      <w:numFmt w:val="decimal"/>
      <w:lvlText w:val="%5."/>
      <w:lvlJc w:val="left"/>
      <w:pPr>
        <w:tabs>
          <w:tab w:val="num" w:pos="3524"/>
        </w:tabs>
        <w:ind w:left="3524" w:hanging="360"/>
      </w:pPr>
    </w:lvl>
    <w:lvl w:ilvl="5" w:tplc="DD3A7FD0" w:tentative="1">
      <w:start w:val="1"/>
      <w:numFmt w:val="decimal"/>
      <w:lvlText w:val="%6."/>
      <w:lvlJc w:val="left"/>
      <w:pPr>
        <w:tabs>
          <w:tab w:val="num" w:pos="4244"/>
        </w:tabs>
        <w:ind w:left="4244" w:hanging="360"/>
      </w:pPr>
    </w:lvl>
    <w:lvl w:ilvl="6" w:tplc="B5FC2A72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E4ECDD18" w:tentative="1">
      <w:start w:val="1"/>
      <w:numFmt w:val="decimal"/>
      <w:lvlText w:val="%8."/>
      <w:lvlJc w:val="left"/>
      <w:pPr>
        <w:tabs>
          <w:tab w:val="num" w:pos="5684"/>
        </w:tabs>
        <w:ind w:left="5684" w:hanging="360"/>
      </w:pPr>
    </w:lvl>
    <w:lvl w:ilvl="8" w:tplc="8DEAD5E2" w:tentative="1">
      <w:start w:val="1"/>
      <w:numFmt w:val="decimal"/>
      <w:lvlText w:val="%9."/>
      <w:lvlJc w:val="left"/>
      <w:pPr>
        <w:tabs>
          <w:tab w:val="num" w:pos="6404"/>
        </w:tabs>
        <w:ind w:left="6404" w:hanging="360"/>
      </w:pPr>
    </w:lvl>
  </w:abstractNum>
  <w:abstractNum w:abstractNumId="1" w15:restartNumberingAfterBreak="0">
    <w:nsid w:val="71F22FBB"/>
    <w:multiLevelType w:val="hybridMultilevel"/>
    <w:tmpl w:val="AC68951E"/>
    <w:lvl w:ilvl="0" w:tplc="2E32976E">
      <w:numFmt w:val="bullet"/>
      <w:lvlText w:val="-"/>
      <w:lvlJc w:val="left"/>
      <w:pPr>
        <w:ind w:left="-360" w:hanging="360"/>
      </w:pPr>
      <w:rPr>
        <w:rFonts w:ascii="Tahoma" w:eastAsiaTheme="minorHAnsi" w:hAnsi="Tahoma" w:cs="Tahoma" w:hint="default"/>
        <w:color w:val="00000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0A84"/>
    <w:rsid w:val="000114E7"/>
    <w:rsid w:val="001300DE"/>
    <w:rsid w:val="00194A45"/>
    <w:rsid w:val="001D73FB"/>
    <w:rsid w:val="00312351"/>
    <w:rsid w:val="003378B3"/>
    <w:rsid w:val="00400A84"/>
    <w:rsid w:val="0073698D"/>
    <w:rsid w:val="00742502"/>
    <w:rsid w:val="0084790E"/>
    <w:rsid w:val="00957516"/>
    <w:rsid w:val="00A70F30"/>
    <w:rsid w:val="00AB6EC2"/>
    <w:rsid w:val="00AC3303"/>
    <w:rsid w:val="00AF0D9B"/>
    <w:rsid w:val="00B9604A"/>
    <w:rsid w:val="00DB03CE"/>
    <w:rsid w:val="00E0156E"/>
    <w:rsid w:val="00E065C5"/>
    <w:rsid w:val="00EF0E17"/>
    <w:rsid w:val="00F057AF"/>
    <w:rsid w:val="00FF57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0F2186C"/>
  <w15:chartTrackingRefBased/>
  <w15:docId w15:val="{877E3000-28B5-4D8B-ADDD-1BF60278B0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42502"/>
    <w:pPr>
      <w:ind w:left="720"/>
      <w:contextualSpacing/>
    </w:pPr>
  </w:style>
  <w:style w:type="character" w:styleId="Hyperlink">
    <w:name w:val="Hyperlink"/>
    <w:basedOn w:val="DefaultParagraphFont"/>
    <w:rsid w:val="00742502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glossaryDocument" Target="glossary/document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A0762FD858F74E918D1970911C12E5A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1DE739F-F5DF-41A4-91C5-F34ACF35379A}"/>
      </w:docPartPr>
      <w:docPartBody>
        <w:p w:rsidR="00796D84" w:rsidRDefault="00F86B13" w:rsidP="00F86B13">
          <w:pPr>
            <w:pStyle w:val="A0762FD858F74E918D1970911C12E5AD"/>
          </w:pPr>
          <w:r w:rsidRPr="00810C7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F9EE8C7210C34BD88F40934913FB0DB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A49DCCF-3999-4E84-B778-C6284A432F40}"/>
      </w:docPartPr>
      <w:docPartBody>
        <w:p w:rsidR="00796D84" w:rsidRDefault="00F86B13" w:rsidP="00F86B13">
          <w:pPr>
            <w:pStyle w:val="F9EE8C7210C34BD88F40934913FB0DBD"/>
          </w:pPr>
          <w:r w:rsidRPr="00810C7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5E5147DAE56A4F52A46B23DE0E312F7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D2D603E-311B-4A2C-8EBE-0FB00137DA33}"/>
      </w:docPartPr>
      <w:docPartBody>
        <w:p w:rsidR="00796D84" w:rsidRDefault="00F86B13" w:rsidP="00F86B13">
          <w:pPr>
            <w:pStyle w:val="5E5147DAE56A4F52A46B23DE0E312F73"/>
          </w:pPr>
          <w:r w:rsidRPr="00810C7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C69C63B7D8A441E8A550233772537FE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4A75D7D-744B-4F5D-9D26-71DEA45A953A}"/>
      </w:docPartPr>
      <w:docPartBody>
        <w:p w:rsidR="00746174" w:rsidRDefault="00E25EF8" w:rsidP="00E25EF8">
          <w:pPr>
            <w:pStyle w:val="C69C63B7D8A441E8A550233772537FE3"/>
          </w:pPr>
          <w:r w:rsidRPr="00810C7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19B070BB25A6465C89FB7E4111E47A1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0D5912D-73E8-426D-B45E-4663EFCEC141}"/>
      </w:docPartPr>
      <w:docPartBody>
        <w:p w:rsidR="00746174" w:rsidRDefault="00E25EF8" w:rsidP="00E25EF8">
          <w:pPr>
            <w:pStyle w:val="19B070BB25A6465C89FB7E4111E47A19"/>
          </w:pPr>
          <w:r w:rsidRPr="00810C7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1227881E43D649B7838D4973E6142E2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1B58B91-EE39-4B56-B5F1-32165FD1E317}"/>
      </w:docPartPr>
      <w:docPartBody>
        <w:p w:rsidR="00746174" w:rsidRDefault="00E25EF8" w:rsidP="00E25EF8">
          <w:pPr>
            <w:pStyle w:val="1227881E43D649B7838D4973E6142E26"/>
          </w:pPr>
          <w:r w:rsidRPr="00810C7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50978356E4154DD6A3EECCEA3DB28C6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96B5BC3-0936-4858-AC86-422D0A2CF2DA}"/>
      </w:docPartPr>
      <w:docPartBody>
        <w:p w:rsidR="00746174" w:rsidRDefault="00E25EF8" w:rsidP="00E25EF8">
          <w:pPr>
            <w:pStyle w:val="50978356E4154DD6A3EECCEA3DB28C6A"/>
          </w:pPr>
          <w:r w:rsidRPr="00810C7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E011AEDC939F47F482177C991AA1789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379B9BE-2CF9-4E5F-9C42-87BF34CC37FF}"/>
      </w:docPartPr>
      <w:docPartBody>
        <w:p w:rsidR="00746174" w:rsidRDefault="00E25EF8" w:rsidP="00E25EF8">
          <w:pPr>
            <w:pStyle w:val="E011AEDC939F47F482177C991AA17891"/>
          </w:pPr>
          <w:r w:rsidRPr="00810C7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C0CE6B9DFE594082B96591A42D658DA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55C031C-08B8-4F21-B7AD-AAEF9597C766}"/>
      </w:docPartPr>
      <w:docPartBody>
        <w:p w:rsidR="00746174" w:rsidRDefault="00E25EF8" w:rsidP="00E25EF8">
          <w:pPr>
            <w:pStyle w:val="C0CE6B9DFE594082B96591A42D658DA1"/>
          </w:pPr>
          <w:r w:rsidRPr="00810C7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3DDA2848CC1D4F07B00059A03B1B28B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955EBEC-3D81-49C5-8333-78A40EDA2DB9}"/>
      </w:docPartPr>
      <w:docPartBody>
        <w:p w:rsidR="00746174" w:rsidRDefault="00E25EF8" w:rsidP="00E25EF8">
          <w:pPr>
            <w:pStyle w:val="3DDA2848CC1D4F07B00059A03B1B28B2"/>
          </w:pPr>
          <w:r w:rsidRPr="00810C78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comment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6B13"/>
    <w:rsid w:val="00746174"/>
    <w:rsid w:val="00796D84"/>
    <w:rsid w:val="00E25EF8"/>
    <w:rsid w:val="00F86B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E25EF8"/>
    <w:rPr>
      <w:color w:val="808080"/>
    </w:rPr>
  </w:style>
  <w:style w:type="paragraph" w:customStyle="1" w:styleId="A0762FD858F74E918D1970911C12E5AD">
    <w:name w:val="A0762FD858F74E918D1970911C12E5AD"/>
    <w:rsid w:val="00F86B13"/>
  </w:style>
  <w:style w:type="paragraph" w:customStyle="1" w:styleId="F9EE8C7210C34BD88F40934913FB0DBD">
    <w:name w:val="F9EE8C7210C34BD88F40934913FB0DBD"/>
    <w:rsid w:val="00F86B13"/>
  </w:style>
  <w:style w:type="paragraph" w:customStyle="1" w:styleId="5E5147DAE56A4F52A46B23DE0E312F73">
    <w:name w:val="5E5147DAE56A4F52A46B23DE0E312F73"/>
    <w:rsid w:val="00F86B13"/>
  </w:style>
  <w:style w:type="paragraph" w:customStyle="1" w:styleId="C69C63B7D8A441E8A550233772537FE3">
    <w:name w:val="C69C63B7D8A441E8A550233772537FE3"/>
    <w:rsid w:val="00E25EF8"/>
  </w:style>
  <w:style w:type="paragraph" w:customStyle="1" w:styleId="19B070BB25A6465C89FB7E4111E47A19">
    <w:name w:val="19B070BB25A6465C89FB7E4111E47A19"/>
    <w:rsid w:val="00E25EF8"/>
  </w:style>
  <w:style w:type="paragraph" w:customStyle="1" w:styleId="1227881E43D649B7838D4973E6142E26">
    <w:name w:val="1227881E43D649B7838D4973E6142E26"/>
    <w:rsid w:val="00E25EF8"/>
  </w:style>
  <w:style w:type="paragraph" w:customStyle="1" w:styleId="50978356E4154DD6A3EECCEA3DB28C6A">
    <w:name w:val="50978356E4154DD6A3EECCEA3DB28C6A"/>
    <w:rsid w:val="00E25EF8"/>
  </w:style>
  <w:style w:type="paragraph" w:customStyle="1" w:styleId="E011AEDC939F47F482177C991AA17891">
    <w:name w:val="E011AEDC939F47F482177C991AA17891"/>
    <w:rsid w:val="00E25EF8"/>
  </w:style>
  <w:style w:type="paragraph" w:customStyle="1" w:styleId="C0CE6B9DFE594082B96591A42D658DA1">
    <w:name w:val="C0CE6B9DFE594082B96591A42D658DA1"/>
    <w:rsid w:val="00E25EF8"/>
  </w:style>
  <w:style w:type="paragraph" w:customStyle="1" w:styleId="3DDA2848CC1D4F07B00059A03B1B28B2">
    <w:name w:val="3DDA2848CC1D4F07B00059A03B1B28B2"/>
    <w:rsid w:val="00E25EF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394</Words>
  <Characters>2246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Alison Elliott (CTM UHB - Research and Development)</dc:creator>
  <cp:keywords/>
  <dc:description/>
  <cp:lastModifiedBy>Alison Elliott (CTM UHB - Research and Development)</cp:lastModifiedBy>
  <cp:revision>6</cp:revision>
  <dcterms:created xsi:type="dcterms:W3CDTF">2024-11-05T17:14:00Z</dcterms:created>
  <dcterms:modified xsi:type="dcterms:W3CDTF">2024-11-22T09:29:00Z</dcterms:modified>
</cp:coreProperties>
</file>