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3C81C833"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A86D8C">
        <w:rPr>
          <w:rFonts w:ascii="Tahoma" w:hAnsi="Tahoma" w:cs="Tahoma"/>
          <w:b/>
          <w:bCs/>
          <w:noProof/>
          <w:color w:val="32598A"/>
          <w:sz w:val="28"/>
          <w:szCs w:val="28"/>
        </w:rPr>
        <w:t xml:space="preserve"> 26</w:t>
      </w:r>
    </w:p>
    <w:p w14:paraId="41C75897" w14:textId="09B0FDA3" w:rsidR="00C670CA" w:rsidRPr="00C670CA" w:rsidRDefault="00A86D8C" w:rsidP="00E0156E">
      <w:pPr>
        <w:spacing w:after="0"/>
        <w:rPr>
          <w:rFonts w:ascii="Tahoma" w:hAnsi="Tahoma" w:cs="Tahoma"/>
          <w:kern w:val="2"/>
          <w:sz w:val="24"/>
          <w:szCs w:val="24"/>
          <w14:ligatures w14:val="standardContextual"/>
        </w:rPr>
      </w:pPr>
      <w:sdt>
        <w:sdtPr>
          <w:rPr>
            <w:rFonts w:ascii="Tahoma" w:hAnsi="Tahoma" w:cs="Tahoma"/>
            <w:kern w:val="2"/>
            <w:sz w:val="24"/>
            <w:szCs w:val="24"/>
            <w14:ligatures w14:val="standardContextual"/>
          </w:rPr>
          <w:id w:val="495000437"/>
          <w:placeholder>
            <w:docPart w:val="933FC1D98BA145179DFC61202877D124"/>
          </w:placeholder>
          <w:text/>
        </w:sdtPr>
        <w:sdtEndPr/>
        <w:sdtContent>
          <w:r w:rsidR="00C670CA" w:rsidRPr="00C670CA">
            <w:rPr>
              <w:rFonts w:ascii="Tahoma" w:hAnsi="Tahoma" w:cs="Tahoma"/>
              <w:kern w:val="2"/>
              <w:sz w:val="24"/>
              <w:szCs w:val="24"/>
              <w14:ligatures w14:val="standardContextual"/>
            </w:rPr>
            <w:t>PREDICT-EV; Are Astrocyte derived Extracellular Vesicles present in the circulation of Transient Ischaemic Attack patients?</w:t>
          </w:r>
        </w:sdtContent>
      </w:sdt>
    </w:p>
    <w:p w14:paraId="65FF17DA" w14:textId="77777777" w:rsidR="00C670CA" w:rsidRPr="00C670CA" w:rsidRDefault="00C670CA" w:rsidP="00E0156E">
      <w:pPr>
        <w:spacing w:after="0"/>
        <w:rPr>
          <w:rFonts w:ascii="Tahoma" w:hAnsi="Tahoma" w:cs="Tahoma"/>
          <w:b/>
          <w:bCs/>
          <w:noProof/>
          <w:color w:val="32598A"/>
          <w:sz w:val="16"/>
          <w:szCs w:val="16"/>
        </w:rPr>
      </w:pPr>
    </w:p>
    <w:p w14:paraId="5CFA3287" w14:textId="34F7B7D5" w:rsidR="003378B3" w:rsidRPr="00C670CA" w:rsidRDefault="003378B3" w:rsidP="00C670CA">
      <w:pPr>
        <w:ind w:right="-360"/>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C670CA">
        <w:rPr>
          <w:rFonts w:ascii="Tahoma" w:hAnsi="Tahoma" w:cs="Tahoma"/>
          <w:noProof/>
          <w:sz w:val="24"/>
          <w:szCs w:val="24"/>
        </w:rPr>
        <w:t>Raven, R</w:t>
      </w:r>
      <w:r w:rsidR="00EB06D4">
        <w:rPr>
          <w:rFonts w:ascii="Tahoma" w:hAnsi="Tahoma" w:cs="Tahoma"/>
          <w:noProof/>
          <w:sz w:val="24"/>
          <w:szCs w:val="24"/>
          <w:vertAlign w:val="superscript"/>
        </w:rPr>
        <w:t>1</w:t>
      </w:r>
      <w:r w:rsidR="00C670CA">
        <w:rPr>
          <w:rFonts w:ascii="Tahoma" w:hAnsi="Tahoma" w:cs="Tahoma"/>
          <w:noProof/>
          <w:sz w:val="24"/>
          <w:szCs w:val="24"/>
        </w:rPr>
        <w:t>., Williams, J.O</w:t>
      </w:r>
      <w:r w:rsidR="00EB06D4">
        <w:rPr>
          <w:rFonts w:ascii="Tahoma" w:hAnsi="Tahoma" w:cs="Tahoma"/>
          <w:noProof/>
          <w:sz w:val="24"/>
          <w:szCs w:val="24"/>
          <w:vertAlign w:val="superscript"/>
        </w:rPr>
        <w:t>1</w:t>
      </w:r>
      <w:r w:rsidR="00C670CA">
        <w:rPr>
          <w:rFonts w:ascii="Tahoma" w:hAnsi="Tahoma" w:cs="Tahoma"/>
          <w:noProof/>
          <w:sz w:val="24"/>
          <w:szCs w:val="24"/>
        </w:rPr>
        <w:t>., Whelan, C</w:t>
      </w:r>
      <w:r w:rsidR="00EB06D4">
        <w:rPr>
          <w:rFonts w:ascii="Tahoma" w:hAnsi="Tahoma" w:cs="Tahoma"/>
          <w:noProof/>
          <w:sz w:val="24"/>
          <w:szCs w:val="24"/>
          <w:vertAlign w:val="superscript"/>
        </w:rPr>
        <w:t>1</w:t>
      </w:r>
      <w:r w:rsidR="00C670CA">
        <w:rPr>
          <w:rFonts w:ascii="Tahoma" w:hAnsi="Tahoma" w:cs="Tahoma"/>
          <w:noProof/>
          <w:sz w:val="24"/>
          <w:szCs w:val="24"/>
        </w:rPr>
        <w:t>., James, P.E</w:t>
      </w:r>
      <w:r w:rsidR="00EB06D4">
        <w:rPr>
          <w:rFonts w:ascii="Tahoma" w:hAnsi="Tahoma" w:cs="Tahoma"/>
          <w:noProof/>
          <w:sz w:val="24"/>
          <w:szCs w:val="24"/>
          <w:vertAlign w:val="superscript"/>
        </w:rPr>
        <w:t>1</w:t>
      </w:r>
      <w:r w:rsidR="00C670CA">
        <w:rPr>
          <w:rFonts w:ascii="Tahoma" w:hAnsi="Tahoma" w:cs="Tahoma"/>
          <w:noProof/>
          <w:sz w:val="24"/>
          <w:szCs w:val="24"/>
        </w:rPr>
        <w:t>., White, J</w:t>
      </w:r>
      <w:r w:rsidR="00EB06D4">
        <w:rPr>
          <w:rFonts w:ascii="Tahoma" w:hAnsi="Tahoma" w:cs="Tahoma"/>
          <w:noProof/>
          <w:sz w:val="24"/>
          <w:szCs w:val="24"/>
          <w:vertAlign w:val="superscript"/>
        </w:rPr>
        <w:t>2</w:t>
      </w:r>
      <w:r w:rsidR="00C670CA">
        <w:rPr>
          <w:rFonts w:ascii="Tahoma" w:hAnsi="Tahoma" w:cs="Tahoma"/>
          <w:noProof/>
          <w:sz w:val="24"/>
          <w:szCs w:val="24"/>
        </w:rPr>
        <w:t>., Geen, J</w:t>
      </w:r>
      <w:r w:rsidR="00EB06D4">
        <w:rPr>
          <w:rFonts w:ascii="Tahoma" w:hAnsi="Tahoma" w:cs="Tahoma"/>
          <w:noProof/>
          <w:sz w:val="24"/>
          <w:szCs w:val="24"/>
          <w:vertAlign w:val="superscript"/>
        </w:rPr>
        <w:t>3</w:t>
      </w:r>
      <w:r w:rsidR="00C670CA">
        <w:rPr>
          <w:rFonts w:ascii="Tahoma" w:hAnsi="Tahoma" w:cs="Tahoma"/>
          <w:noProof/>
          <w:sz w:val="24"/>
          <w:szCs w:val="24"/>
        </w:rPr>
        <w:t>.</w:t>
      </w:r>
    </w:p>
    <w:p w14:paraId="0EF06F1D" w14:textId="35DCE0DB" w:rsidR="0073698D" w:rsidRPr="00EB06D4"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C670CA" w:rsidRPr="00C670CA">
        <w:rPr>
          <w:rFonts w:ascii="Tahoma" w:hAnsi="Tahoma" w:cs="Tahoma"/>
          <w:sz w:val="28"/>
          <w:szCs w:val="28"/>
        </w:rPr>
        <w:t xml:space="preserve"> </w:t>
      </w:r>
      <w:r w:rsidR="00C670CA" w:rsidRPr="00EB06D4">
        <w:rPr>
          <w:rFonts w:ascii="Tahoma" w:hAnsi="Tahoma" w:cs="Tahoma"/>
          <w:sz w:val="24"/>
          <w:szCs w:val="24"/>
          <w:vertAlign w:val="superscript"/>
        </w:rPr>
        <w:t>1</w:t>
      </w:r>
      <w:r w:rsidR="00C670CA" w:rsidRPr="00EB06D4">
        <w:rPr>
          <w:rFonts w:ascii="Tahoma" w:hAnsi="Tahoma" w:cs="Tahoma"/>
          <w:sz w:val="24"/>
          <w:szCs w:val="24"/>
        </w:rPr>
        <w:t xml:space="preserve">Centre for Cardiovascular Research, Innovation and Development (CURIAD), Cardiff Metropolitan University. </w:t>
      </w:r>
      <w:r w:rsidR="00C670CA" w:rsidRPr="00EB06D4">
        <w:rPr>
          <w:rFonts w:ascii="Tahoma" w:hAnsi="Tahoma" w:cs="Tahoma"/>
          <w:sz w:val="24"/>
          <w:szCs w:val="24"/>
          <w:vertAlign w:val="superscript"/>
        </w:rPr>
        <w:t>2</w:t>
      </w:r>
      <w:r w:rsidR="00C670CA" w:rsidRPr="00EB06D4">
        <w:rPr>
          <w:rFonts w:ascii="Tahoma" w:hAnsi="Tahoma" w:cs="Tahoma"/>
          <w:sz w:val="24"/>
          <w:szCs w:val="24"/>
        </w:rPr>
        <w:t xml:space="preserve">Stroke Services, Cwm Taf </w:t>
      </w:r>
      <w:r w:rsidR="00EB06D4" w:rsidRPr="00EB06D4">
        <w:rPr>
          <w:rFonts w:ascii="Tahoma" w:hAnsi="Tahoma" w:cs="Tahoma"/>
          <w:sz w:val="24"/>
          <w:szCs w:val="24"/>
        </w:rPr>
        <w:t>M</w:t>
      </w:r>
      <w:r w:rsidR="00C670CA" w:rsidRPr="00EB06D4">
        <w:rPr>
          <w:rFonts w:ascii="Tahoma" w:hAnsi="Tahoma" w:cs="Tahoma"/>
          <w:sz w:val="24"/>
          <w:szCs w:val="24"/>
        </w:rPr>
        <w:t>organnwg University He</w:t>
      </w:r>
      <w:r w:rsidR="00EB06D4" w:rsidRPr="00EB06D4">
        <w:rPr>
          <w:rFonts w:ascii="Tahoma" w:hAnsi="Tahoma" w:cs="Tahoma"/>
          <w:sz w:val="24"/>
          <w:szCs w:val="24"/>
        </w:rPr>
        <w:t xml:space="preserve">alth Board. </w:t>
      </w:r>
      <w:r w:rsidR="00EB06D4" w:rsidRPr="00EB06D4">
        <w:rPr>
          <w:rFonts w:ascii="Tahoma" w:hAnsi="Tahoma" w:cs="Tahoma"/>
          <w:sz w:val="24"/>
          <w:szCs w:val="24"/>
          <w:vertAlign w:val="superscript"/>
        </w:rPr>
        <w:t>3</w:t>
      </w:r>
      <w:r w:rsidR="00EB06D4" w:rsidRPr="00EB06D4">
        <w:rPr>
          <w:rFonts w:ascii="Tahoma" w:hAnsi="Tahoma" w:cs="Tahoma"/>
          <w:sz w:val="24"/>
          <w:szCs w:val="24"/>
        </w:rPr>
        <w:t>Clinical Biochemistry Services, Cwm Taf Morgannwg University Health Board</w:t>
      </w:r>
    </w:p>
    <w:p w14:paraId="5C2DF48A" w14:textId="77777777" w:rsidR="001D73FB" w:rsidRPr="00101A21" w:rsidRDefault="001D73FB" w:rsidP="001D73FB">
      <w:pPr>
        <w:shd w:val="clear" w:color="auto" w:fill="32598A"/>
        <w:rPr>
          <w:color w:val="0066CC"/>
        </w:rPr>
      </w:pPr>
    </w:p>
    <w:p w14:paraId="538FA88B" w14:textId="1E5448C3" w:rsidR="00400A84" w:rsidRDefault="001D73FB" w:rsidP="00C741F1">
      <w:pPr>
        <w:spacing w:after="0"/>
        <w:rPr>
          <w:rFonts w:ascii="Tahoma" w:hAnsi="Tahoma" w:cs="Tahoma"/>
          <w:b/>
          <w:bCs/>
          <w:sz w:val="24"/>
          <w:szCs w:val="24"/>
        </w:rPr>
      </w:pPr>
      <w:r>
        <w:rPr>
          <w:rFonts w:ascii="Tahoma" w:hAnsi="Tahoma" w:cs="Tahoma"/>
          <w:b/>
          <w:bCs/>
          <w:sz w:val="24"/>
          <w:szCs w:val="24"/>
        </w:rPr>
        <w:t>Introduction:</w:t>
      </w:r>
    </w:p>
    <w:p w14:paraId="19514B35" w14:textId="77777777" w:rsidR="00EB06D4" w:rsidRPr="00EB06D4" w:rsidRDefault="00A86D8C" w:rsidP="00C741F1">
      <w:pPr>
        <w:spacing w:line="240" w:lineRule="auto"/>
        <w:jc w:val="both"/>
        <w:rPr>
          <w:rFonts w:ascii="Tahoma" w:hAnsi="Tahoma" w:cs="Tahoma"/>
          <w:sz w:val="24"/>
          <w:szCs w:val="24"/>
        </w:rPr>
      </w:pPr>
      <w:sdt>
        <w:sdtPr>
          <w:rPr>
            <w:rFonts w:ascii="Tahoma" w:hAnsi="Tahoma" w:cs="Tahoma"/>
            <w:sz w:val="24"/>
            <w:szCs w:val="24"/>
          </w:rPr>
          <w:id w:val="-1126613510"/>
          <w:placeholder>
            <w:docPart w:val="D596193F3E824516A5DAEE382AC23714"/>
          </w:placeholder>
          <w:text/>
        </w:sdtPr>
        <w:sdtEndPr/>
        <w:sdtContent>
          <w:r w:rsidR="00EB06D4" w:rsidRPr="00EB06D4">
            <w:rPr>
              <w:rFonts w:ascii="Tahoma" w:hAnsi="Tahoma" w:cs="Tahoma"/>
              <w:sz w:val="24"/>
              <w:szCs w:val="24"/>
            </w:rPr>
            <w:t>Stroke is the second leading cause of death worldwide and is the fourth in the UK. An uncharacterised increase in risk of suffering a disabling stroke is associated with transient ischaemic attack (TIA) patients. This risk is highest in the 24 hours following a TIA, but persists at 7 days (8%), 1 month (11.5%), 3 months (17.3%) and 12 months (25%). A major hallmark of ischaemic stroke is blood-brain barrier (BBB) disruption. The neurovascular unit (NVU) that comprises the BBB is crucial to maintaining homeostasis of the brain microenvironment. Two of the most integral cell types in the NVU are endothelial cells and astrocytes. Extracellular vesicles (EVs) are sub-micron particles produced by all cell types as part of normal homeostasis, but under stress conditions have been linked with pathophysiological responses. Disruption to the BBB causes leakage and due to their size, it is plausible that neural EVs normally restricted to the abluminal side can transverse the barrier to the vessel lumen. Here, the aim was to determine whether EV derived from Astrocytes were present in the circulation of TIA patients.</w:t>
          </w:r>
        </w:sdtContent>
      </w:sdt>
    </w:p>
    <w:p w14:paraId="7348F163" w14:textId="4DDB54A1" w:rsidR="001D73FB" w:rsidRDefault="001D73FB" w:rsidP="00C741F1">
      <w:pPr>
        <w:spacing w:after="0" w:line="240" w:lineRule="auto"/>
        <w:jc w:val="both"/>
        <w:rPr>
          <w:rFonts w:ascii="Tahoma" w:hAnsi="Tahoma" w:cs="Tahoma"/>
          <w:b/>
          <w:bCs/>
          <w:sz w:val="24"/>
          <w:szCs w:val="24"/>
        </w:rPr>
      </w:pPr>
      <w:r>
        <w:rPr>
          <w:rFonts w:ascii="Tahoma" w:hAnsi="Tahoma" w:cs="Tahoma"/>
          <w:b/>
          <w:bCs/>
          <w:sz w:val="24"/>
          <w:szCs w:val="24"/>
        </w:rPr>
        <w:t>Aim:</w:t>
      </w:r>
    </w:p>
    <w:p w14:paraId="238B8108" w14:textId="77777777" w:rsidR="00EB06D4" w:rsidRPr="00EB06D4" w:rsidRDefault="00A86D8C" w:rsidP="00C741F1">
      <w:pPr>
        <w:spacing w:line="240" w:lineRule="auto"/>
        <w:jc w:val="both"/>
        <w:rPr>
          <w:rFonts w:ascii="Tahoma" w:hAnsi="Tahoma" w:cs="Tahoma"/>
          <w:sz w:val="24"/>
          <w:szCs w:val="24"/>
        </w:rPr>
      </w:pPr>
      <w:sdt>
        <w:sdtPr>
          <w:rPr>
            <w:rFonts w:ascii="Tahoma" w:hAnsi="Tahoma" w:cs="Tahoma"/>
            <w:sz w:val="24"/>
            <w:szCs w:val="24"/>
          </w:rPr>
          <w:id w:val="506803389"/>
          <w:placeholder>
            <w:docPart w:val="184F0F3D12914D6EAC711CD440719033"/>
          </w:placeholder>
          <w:text/>
        </w:sdtPr>
        <w:sdtEndPr/>
        <w:sdtContent>
          <w:r w:rsidR="00EB06D4" w:rsidRPr="00EB06D4">
            <w:rPr>
              <w:rFonts w:ascii="Tahoma" w:hAnsi="Tahoma" w:cs="Tahoma"/>
              <w:sz w:val="24"/>
              <w:szCs w:val="24"/>
            </w:rPr>
            <w:t>To determine if Astrocyte derived EVs are present in the circulation of Transient Ischaemic Attack Patients.</w:t>
          </w:r>
        </w:sdtContent>
      </w:sdt>
    </w:p>
    <w:p w14:paraId="4F0C03D1" w14:textId="34DE6F67" w:rsidR="001D73FB" w:rsidRDefault="001D73FB" w:rsidP="00C741F1">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54649C8E" w14:textId="2D535C2E" w:rsidR="00EB06D4" w:rsidRDefault="00A86D8C" w:rsidP="00C741F1">
      <w:pPr>
        <w:spacing w:after="0" w:line="240" w:lineRule="auto"/>
        <w:jc w:val="both"/>
        <w:rPr>
          <w:rFonts w:ascii="Tahoma" w:hAnsi="Tahoma" w:cs="Tahoma"/>
          <w:b/>
          <w:bCs/>
          <w:sz w:val="24"/>
          <w:szCs w:val="24"/>
        </w:rPr>
      </w:pPr>
      <w:sdt>
        <w:sdtPr>
          <w:rPr>
            <w:rFonts w:ascii="Tahoma" w:hAnsi="Tahoma" w:cs="Tahoma"/>
            <w:sz w:val="24"/>
            <w:szCs w:val="24"/>
          </w:rPr>
          <w:id w:val="785011412"/>
          <w:placeholder>
            <w:docPart w:val="1C5035511EAD46508AACC2787FE6A705"/>
          </w:placeholder>
          <w:text/>
        </w:sdtPr>
        <w:sdtEndPr/>
        <w:sdtContent>
          <w:r w:rsidR="00B55B38" w:rsidRPr="00B55B38">
            <w:rPr>
              <w:rFonts w:ascii="Tahoma" w:hAnsi="Tahoma" w:cs="Tahoma"/>
              <w:sz w:val="24"/>
              <w:szCs w:val="24"/>
            </w:rPr>
            <w:t>TIA patients were recruited from TIA clinic at Prince Charles Hospital Merthyr (N=150) and were compared to a ‘TIA mimic’ group (N=30) and a group of healthy controls (N=30). EVs were isolated from a-cellular plasma using size exclusion chromatography and characterised using Nanosight Tracking Analysis and flow cytometry. Confirmation of EV character was determined by CD9 antigen positivity and secondly stained for glial fibrillary acidic protein (GFAP) that represents astrocyte origin. An enzyme-linked immunosorbent assay (ELISA) was used to determine levels of free GFAP protein in plasma, that has been found to be increased following astrocyte reactivity.</w:t>
          </w:r>
        </w:sdtContent>
      </w:sdt>
    </w:p>
    <w:p w14:paraId="41CCDAF5" w14:textId="77777777" w:rsidR="00312351" w:rsidRPr="00B55B38" w:rsidRDefault="00312351" w:rsidP="00C741F1">
      <w:pPr>
        <w:spacing w:after="0" w:line="240" w:lineRule="auto"/>
        <w:jc w:val="both"/>
        <w:rPr>
          <w:rFonts w:ascii="Tahoma" w:hAnsi="Tahoma" w:cs="Tahoma"/>
          <w:sz w:val="16"/>
          <w:szCs w:val="16"/>
        </w:rPr>
      </w:pPr>
    </w:p>
    <w:p w14:paraId="335C0979" w14:textId="5091894B" w:rsidR="001D73FB" w:rsidRDefault="001D73FB" w:rsidP="00C741F1">
      <w:pPr>
        <w:spacing w:after="0" w:line="240" w:lineRule="auto"/>
        <w:jc w:val="both"/>
        <w:rPr>
          <w:rFonts w:ascii="Tahoma" w:hAnsi="Tahoma" w:cs="Tahoma"/>
          <w:b/>
          <w:bCs/>
          <w:sz w:val="24"/>
          <w:szCs w:val="24"/>
        </w:rPr>
      </w:pPr>
      <w:r>
        <w:rPr>
          <w:rFonts w:ascii="Tahoma" w:hAnsi="Tahoma" w:cs="Tahoma"/>
          <w:b/>
          <w:bCs/>
          <w:sz w:val="24"/>
          <w:szCs w:val="24"/>
        </w:rPr>
        <w:t>Results:</w:t>
      </w:r>
    </w:p>
    <w:p w14:paraId="2A1866D4" w14:textId="77777777" w:rsidR="00C741F1" w:rsidRPr="00C741F1" w:rsidRDefault="00A86D8C" w:rsidP="00C741F1">
      <w:pPr>
        <w:spacing w:line="240" w:lineRule="auto"/>
        <w:jc w:val="both"/>
        <w:rPr>
          <w:rFonts w:ascii="Tahoma" w:hAnsi="Tahoma" w:cs="Tahoma"/>
          <w:sz w:val="24"/>
          <w:szCs w:val="24"/>
        </w:rPr>
      </w:pPr>
      <w:sdt>
        <w:sdtPr>
          <w:rPr>
            <w:rFonts w:ascii="Tahoma" w:hAnsi="Tahoma" w:cs="Tahoma"/>
            <w:sz w:val="24"/>
            <w:szCs w:val="24"/>
          </w:rPr>
          <w:id w:val="-2081054370"/>
          <w:placeholder>
            <w:docPart w:val="68A440BC835E435DA438F53DB1EB7E98"/>
          </w:placeholder>
          <w:text/>
        </w:sdtPr>
        <w:sdtEndPr/>
        <w:sdtContent>
          <w:r w:rsidR="00C741F1" w:rsidRPr="00C741F1">
            <w:rPr>
              <w:rFonts w:ascii="Tahoma" w:hAnsi="Tahoma" w:cs="Tahoma"/>
              <w:sz w:val="24"/>
              <w:szCs w:val="24"/>
            </w:rPr>
            <w:t>TIA patients and TIA mimics had significantly higher EV concentrations when compared to healthy controls (p&lt;0.05). The proportion of GFAP+ EV was assessed using FC and was found to be significantly elevated in TIA patients compared to TIA mimics and heathy controls (p&lt;0.0001). Plasma GFAP protein levels were significantly increased in TIA patients compared to both TIA mimics (p&lt;0.01) and healthy controls (p&lt;0.0001), reflective of astrogliosis.</w:t>
          </w:r>
        </w:sdtContent>
      </w:sdt>
    </w:p>
    <w:p w14:paraId="5A7098BC" w14:textId="77777777" w:rsidR="00C741F1" w:rsidRDefault="00C741F1" w:rsidP="00C741F1">
      <w:pPr>
        <w:spacing w:after="0" w:line="240" w:lineRule="auto"/>
        <w:jc w:val="both"/>
        <w:rPr>
          <w:rFonts w:ascii="Tahoma" w:hAnsi="Tahoma" w:cs="Tahoma"/>
          <w:b/>
          <w:bCs/>
          <w:sz w:val="24"/>
          <w:szCs w:val="24"/>
        </w:rPr>
      </w:pPr>
    </w:p>
    <w:p w14:paraId="19EFBCBA" w14:textId="77777777" w:rsidR="00C741F1" w:rsidRDefault="00C741F1" w:rsidP="00C741F1">
      <w:pPr>
        <w:spacing w:after="0" w:line="240" w:lineRule="auto"/>
        <w:jc w:val="both"/>
        <w:rPr>
          <w:rFonts w:ascii="Tahoma" w:hAnsi="Tahoma" w:cs="Tahoma"/>
          <w:b/>
          <w:bCs/>
          <w:sz w:val="24"/>
          <w:szCs w:val="24"/>
        </w:rPr>
      </w:pPr>
    </w:p>
    <w:p w14:paraId="79D016C6" w14:textId="2CA03A77" w:rsidR="001D73FB" w:rsidRDefault="001D73FB" w:rsidP="00C741F1">
      <w:pPr>
        <w:spacing w:after="0" w:line="240" w:lineRule="auto"/>
        <w:jc w:val="both"/>
        <w:rPr>
          <w:rFonts w:ascii="Tahoma" w:hAnsi="Tahoma" w:cs="Tahoma"/>
          <w:b/>
          <w:bCs/>
          <w:sz w:val="24"/>
          <w:szCs w:val="24"/>
        </w:rPr>
      </w:pPr>
      <w:r>
        <w:rPr>
          <w:rFonts w:ascii="Tahoma" w:hAnsi="Tahoma" w:cs="Tahoma"/>
          <w:b/>
          <w:bCs/>
          <w:sz w:val="24"/>
          <w:szCs w:val="24"/>
        </w:rPr>
        <w:lastRenderedPageBreak/>
        <w:t>Conclusion:</w:t>
      </w:r>
    </w:p>
    <w:p w14:paraId="42D2E568" w14:textId="15342D09" w:rsidR="00C741F1" w:rsidRPr="00C741F1" w:rsidRDefault="00C741F1" w:rsidP="00C741F1">
      <w:pPr>
        <w:spacing w:after="0" w:line="240" w:lineRule="auto"/>
        <w:jc w:val="both"/>
        <w:rPr>
          <w:rFonts w:ascii="Tahoma" w:hAnsi="Tahoma" w:cs="Tahoma"/>
          <w:sz w:val="24"/>
          <w:szCs w:val="24"/>
        </w:rPr>
      </w:pPr>
      <w:r>
        <w:rPr>
          <w:rFonts w:ascii="Tahoma" w:hAnsi="Tahoma" w:cs="Tahoma"/>
          <w:sz w:val="24"/>
          <w:szCs w:val="24"/>
        </w:rPr>
        <w:t>Astrocyte derived EV are increased in the circulation of TIA patients. Whether the presence of GFAP+EV in circulation impacts stroke risk and if they have an impact on clotting processes is still under investigation.</w:t>
      </w:r>
    </w:p>
    <w:p w14:paraId="500C9ACB" w14:textId="33A2A97D" w:rsidR="00C741F1" w:rsidRPr="00EF3B98" w:rsidRDefault="00C741F1" w:rsidP="00C741F1">
      <w:pPr>
        <w:spacing w:line="240" w:lineRule="auto"/>
        <w:ind w:right="-360"/>
        <w:jc w:val="both"/>
        <w:rPr>
          <w:rFonts w:ascii="Tahoma" w:hAnsi="Tahoma" w:cs="Tahoma"/>
          <w:sz w:val="28"/>
          <w:szCs w:val="28"/>
        </w:rPr>
      </w:pPr>
    </w:p>
    <w:p w14:paraId="38C3F14B" w14:textId="77777777" w:rsidR="00C741F1" w:rsidRDefault="00C741F1" w:rsidP="00C741F1">
      <w:pPr>
        <w:spacing w:after="0" w:line="240" w:lineRule="auto"/>
        <w:jc w:val="both"/>
        <w:rPr>
          <w:rFonts w:ascii="Tahoma" w:hAnsi="Tahoma" w:cs="Tahoma"/>
          <w:b/>
          <w:bCs/>
          <w:sz w:val="24"/>
          <w:szCs w:val="24"/>
        </w:rPr>
      </w:pPr>
    </w:p>
    <w:sectPr w:rsidR="00C741F1"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2D3A43"/>
    <w:rsid w:val="00312351"/>
    <w:rsid w:val="003378B3"/>
    <w:rsid w:val="00400A84"/>
    <w:rsid w:val="0073698D"/>
    <w:rsid w:val="0084790E"/>
    <w:rsid w:val="00957516"/>
    <w:rsid w:val="00A70F30"/>
    <w:rsid w:val="00A86D8C"/>
    <w:rsid w:val="00AC3303"/>
    <w:rsid w:val="00B55B38"/>
    <w:rsid w:val="00C670CA"/>
    <w:rsid w:val="00C741F1"/>
    <w:rsid w:val="00DB03CE"/>
    <w:rsid w:val="00E0156E"/>
    <w:rsid w:val="00E065C5"/>
    <w:rsid w:val="00EB06D4"/>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33FC1D98BA145179DFC61202877D124"/>
        <w:category>
          <w:name w:val="General"/>
          <w:gallery w:val="placeholder"/>
        </w:category>
        <w:types>
          <w:type w:val="bbPlcHdr"/>
        </w:types>
        <w:behaviors>
          <w:behavior w:val="content"/>
        </w:behaviors>
        <w:guid w:val="{2EA17167-E020-4CA2-AAD6-C3392C61FFE5}"/>
      </w:docPartPr>
      <w:docPartBody>
        <w:p w:rsidR="0050136D" w:rsidRDefault="009D4B39" w:rsidP="009D4B39">
          <w:pPr>
            <w:pStyle w:val="933FC1D98BA145179DFC61202877D124"/>
          </w:pPr>
          <w:r w:rsidRPr="00810C78">
            <w:rPr>
              <w:rStyle w:val="PlaceholderText"/>
            </w:rPr>
            <w:t>Click or tap here to enter text.</w:t>
          </w:r>
        </w:p>
      </w:docPartBody>
    </w:docPart>
    <w:docPart>
      <w:docPartPr>
        <w:name w:val="D596193F3E824516A5DAEE382AC23714"/>
        <w:category>
          <w:name w:val="General"/>
          <w:gallery w:val="placeholder"/>
        </w:category>
        <w:types>
          <w:type w:val="bbPlcHdr"/>
        </w:types>
        <w:behaviors>
          <w:behavior w:val="content"/>
        </w:behaviors>
        <w:guid w:val="{AD415E48-9B18-4254-B3FB-7D36A556BB65}"/>
      </w:docPartPr>
      <w:docPartBody>
        <w:p w:rsidR="0050136D" w:rsidRDefault="009D4B39" w:rsidP="009D4B39">
          <w:pPr>
            <w:pStyle w:val="D596193F3E824516A5DAEE382AC23714"/>
          </w:pPr>
          <w:r w:rsidRPr="00810C78">
            <w:rPr>
              <w:rStyle w:val="PlaceholderText"/>
            </w:rPr>
            <w:t>Click or tap here to enter text.</w:t>
          </w:r>
        </w:p>
      </w:docPartBody>
    </w:docPart>
    <w:docPart>
      <w:docPartPr>
        <w:name w:val="184F0F3D12914D6EAC711CD440719033"/>
        <w:category>
          <w:name w:val="General"/>
          <w:gallery w:val="placeholder"/>
        </w:category>
        <w:types>
          <w:type w:val="bbPlcHdr"/>
        </w:types>
        <w:behaviors>
          <w:behavior w:val="content"/>
        </w:behaviors>
        <w:guid w:val="{95FCD3B8-BCF7-43B5-8D6E-2C099722395E}"/>
      </w:docPartPr>
      <w:docPartBody>
        <w:p w:rsidR="0050136D" w:rsidRDefault="009D4B39" w:rsidP="009D4B39">
          <w:pPr>
            <w:pStyle w:val="184F0F3D12914D6EAC711CD440719033"/>
          </w:pPr>
          <w:r w:rsidRPr="00810C78">
            <w:rPr>
              <w:rStyle w:val="PlaceholderText"/>
            </w:rPr>
            <w:t>Click or tap here to enter text.</w:t>
          </w:r>
        </w:p>
      </w:docPartBody>
    </w:docPart>
    <w:docPart>
      <w:docPartPr>
        <w:name w:val="1C5035511EAD46508AACC2787FE6A705"/>
        <w:category>
          <w:name w:val="General"/>
          <w:gallery w:val="placeholder"/>
        </w:category>
        <w:types>
          <w:type w:val="bbPlcHdr"/>
        </w:types>
        <w:behaviors>
          <w:behavior w:val="content"/>
        </w:behaviors>
        <w:guid w:val="{DD2DD96E-111F-467D-810F-E1E8DA9D2ED4}"/>
      </w:docPartPr>
      <w:docPartBody>
        <w:p w:rsidR="0050136D" w:rsidRDefault="009D4B39" w:rsidP="009D4B39">
          <w:pPr>
            <w:pStyle w:val="1C5035511EAD46508AACC2787FE6A705"/>
          </w:pPr>
          <w:r w:rsidRPr="00810C78">
            <w:rPr>
              <w:rStyle w:val="PlaceholderText"/>
            </w:rPr>
            <w:t>Click or tap here to enter text.</w:t>
          </w:r>
        </w:p>
      </w:docPartBody>
    </w:docPart>
    <w:docPart>
      <w:docPartPr>
        <w:name w:val="68A440BC835E435DA438F53DB1EB7E98"/>
        <w:category>
          <w:name w:val="General"/>
          <w:gallery w:val="placeholder"/>
        </w:category>
        <w:types>
          <w:type w:val="bbPlcHdr"/>
        </w:types>
        <w:behaviors>
          <w:behavior w:val="content"/>
        </w:behaviors>
        <w:guid w:val="{34776C73-B70E-43EE-8EB6-E84AACE0B28E}"/>
      </w:docPartPr>
      <w:docPartBody>
        <w:p w:rsidR="0050136D" w:rsidRDefault="009D4B39" w:rsidP="009D4B39">
          <w:pPr>
            <w:pStyle w:val="68A440BC835E435DA438F53DB1EB7E98"/>
          </w:pPr>
          <w:r w:rsidRPr="00810C7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4B39"/>
    <w:rsid w:val="0050136D"/>
    <w:rsid w:val="009D4B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D4B39"/>
    <w:rPr>
      <w:color w:val="808080"/>
    </w:rPr>
  </w:style>
  <w:style w:type="paragraph" w:customStyle="1" w:styleId="933FC1D98BA145179DFC61202877D124">
    <w:name w:val="933FC1D98BA145179DFC61202877D124"/>
    <w:rsid w:val="009D4B39"/>
  </w:style>
  <w:style w:type="paragraph" w:customStyle="1" w:styleId="D596193F3E824516A5DAEE382AC23714">
    <w:name w:val="D596193F3E824516A5DAEE382AC23714"/>
    <w:rsid w:val="009D4B39"/>
  </w:style>
  <w:style w:type="paragraph" w:customStyle="1" w:styleId="184F0F3D12914D6EAC711CD440719033">
    <w:name w:val="184F0F3D12914D6EAC711CD440719033"/>
    <w:rsid w:val="009D4B39"/>
  </w:style>
  <w:style w:type="paragraph" w:customStyle="1" w:styleId="1C5035511EAD46508AACC2787FE6A705">
    <w:name w:val="1C5035511EAD46508AACC2787FE6A705"/>
    <w:rsid w:val="009D4B39"/>
  </w:style>
  <w:style w:type="paragraph" w:customStyle="1" w:styleId="68A440BC835E435DA438F53DB1EB7E98">
    <w:name w:val="68A440BC835E435DA438F53DB1EB7E98"/>
    <w:rsid w:val="009D4B3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473</Words>
  <Characters>2697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2024-11-11T17:48:00Z</dcterms:created>
  <dcterms:modified xsi:type="dcterms:W3CDTF">2024-11-22T09:29:00Z</dcterms:modified>
</cp:coreProperties>
</file>