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C747B4" w14:textId="4941AE9E" w:rsidR="00E86AEA" w:rsidRDefault="00400A84" w:rsidP="00400A84">
      <w:pPr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77D4C03B" wp14:editId="54287644">
            <wp:simplePos x="0" y="0"/>
            <wp:positionH relativeFrom="page">
              <wp:align>center</wp:align>
            </wp:positionH>
            <wp:positionV relativeFrom="paragraph">
              <wp:posOffset>-6985</wp:posOffset>
            </wp:positionV>
            <wp:extent cx="3780995" cy="962025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0995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15566B9" w14:textId="697CD7C8" w:rsidR="00400A84" w:rsidRDefault="00400A84" w:rsidP="00400A84">
      <w:pPr>
        <w:jc w:val="center"/>
        <w:rPr>
          <w:noProof/>
        </w:rPr>
      </w:pPr>
    </w:p>
    <w:p w14:paraId="756F0279" w14:textId="3EBEE59A" w:rsidR="00400A84" w:rsidRDefault="00400A84" w:rsidP="00400A84">
      <w:pPr>
        <w:jc w:val="center"/>
        <w:rPr>
          <w:noProof/>
        </w:rPr>
      </w:pPr>
    </w:p>
    <w:p w14:paraId="3C7B1259" w14:textId="587BAC29" w:rsidR="00400A84" w:rsidRDefault="00400A84" w:rsidP="00400A84">
      <w:pPr>
        <w:jc w:val="center"/>
        <w:rPr>
          <w:noProof/>
        </w:rPr>
      </w:pPr>
    </w:p>
    <w:p w14:paraId="1B8873D8" w14:textId="1CA7596D" w:rsidR="00400A84" w:rsidRDefault="003378B3" w:rsidP="00400A84">
      <w:pPr>
        <w:jc w:val="center"/>
        <w:rPr>
          <w:rFonts w:ascii="Tahoma" w:hAnsi="Tahoma" w:cs="Tahoma"/>
          <w:b/>
          <w:bCs/>
          <w:noProof/>
          <w:color w:val="32598A"/>
          <w:sz w:val="32"/>
          <w:szCs w:val="32"/>
        </w:rPr>
      </w:pPr>
      <w:r>
        <w:rPr>
          <w:rFonts w:ascii="Tahoma" w:hAnsi="Tahoma" w:cs="Tahoma"/>
          <w:b/>
          <w:bCs/>
          <w:noProof/>
          <w:color w:val="32598A"/>
          <w:sz w:val="32"/>
          <w:szCs w:val="32"/>
        </w:rPr>
        <w:t>RESEARCH &amp; DEVELOPMENT CONFERENCE 2024</w:t>
      </w:r>
    </w:p>
    <w:p w14:paraId="5B1E7DD7" w14:textId="421F51C8" w:rsidR="003378B3" w:rsidRDefault="003378B3" w:rsidP="00E0156E">
      <w:pPr>
        <w:spacing w:after="0"/>
        <w:rPr>
          <w:rFonts w:ascii="Tahoma" w:hAnsi="Tahoma" w:cs="Tahoma"/>
          <w:b/>
          <w:bCs/>
          <w:noProof/>
          <w:color w:val="32598A"/>
          <w:sz w:val="28"/>
          <w:szCs w:val="28"/>
        </w:rPr>
      </w:pPr>
      <w:r>
        <w:rPr>
          <w:rFonts w:ascii="Tahoma" w:hAnsi="Tahoma" w:cs="Tahoma"/>
          <w:b/>
          <w:bCs/>
          <w:noProof/>
          <w:color w:val="32598A"/>
          <w:sz w:val="28"/>
          <w:szCs w:val="28"/>
        </w:rPr>
        <w:t>POSTER PRESENTATION :</w:t>
      </w:r>
      <w:r w:rsidR="00F27480">
        <w:rPr>
          <w:rFonts w:ascii="Tahoma" w:hAnsi="Tahoma" w:cs="Tahoma"/>
          <w:b/>
          <w:bCs/>
          <w:noProof/>
          <w:color w:val="32598A"/>
          <w:sz w:val="28"/>
          <w:szCs w:val="28"/>
        </w:rPr>
        <w:t xml:space="preserve"> 22</w:t>
      </w:r>
    </w:p>
    <w:p w14:paraId="45D21169" w14:textId="775CEA8D" w:rsidR="00740969" w:rsidRDefault="00740969" w:rsidP="00E0156E">
      <w:pPr>
        <w:spacing w:after="0"/>
        <w:rPr>
          <w:rFonts w:ascii="Tahoma" w:hAnsi="Tahoma" w:cs="Tahoma"/>
          <w:noProof/>
          <w:sz w:val="24"/>
          <w:szCs w:val="24"/>
        </w:rPr>
      </w:pPr>
      <w:r>
        <w:rPr>
          <w:rFonts w:ascii="Tahoma" w:hAnsi="Tahoma" w:cs="Tahoma"/>
          <w:noProof/>
          <w:sz w:val="24"/>
          <w:szCs w:val="24"/>
        </w:rPr>
        <w:t xml:space="preserve">In-Vitro </w:t>
      </w:r>
      <w:r w:rsidRPr="00840A97">
        <w:rPr>
          <w:rFonts w:ascii="Tahoma" w:hAnsi="Tahoma" w:cs="Tahoma"/>
          <w:noProof/>
          <w:sz w:val="24"/>
          <w:szCs w:val="24"/>
        </w:rPr>
        <w:t>Cell</w:t>
      </w:r>
      <w:r>
        <w:rPr>
          <w:rFonts w:ascii="Tahoma" w:hAnsi="Tahoma" w:cs="Tahoma"/>
          <w:noProof/>
          <w:sz w:val="24"/>
          <w:szCs w:val="24"/>
        </w:rPr>
        <w:t xml:space="preserve">ular </w:t>
      </w:r>
      <w:r w:rsidRPr="00B70867">
        <w:rPr>
          <w:rFonts w:ascii="Tahoma" w:hAnsi="Tahoma" w:cs="Tahoma"/>
          <w:noProof/>
          <w:sz w:val="24"/>
          <w:szCs w:val="24"/>
        </w:rPr>
        <w:t xml:space="preserve">Responses to Treatment with </w:t>
      </w:r>
      <w:r>
        <w:rPr>
          <w:rFonts w:ascii="Tahoma" w:hAnsi="Tahoma" w:cs="Tahoma"/>
          <w:noProof/>
          <w:sz w:val="24"/>
          <w:szCs w:val="24"/>
        </w:rPr>
        <w:t>Spike Protein from e</w:t>
      </w:r>
      <w:r w:rsidRPr="00B70867">
        <w:rPr>
          <w:rFonts w:ascii="Tahoma" w:hAnsi="Tahoma" w:cs="Tahoma"/>
          <w:noProof/>
          <w:sz w:val="24"/>
          <w:szCs w:val="24"/>
        </w:rPr>
        <w:t>ither the Omicron (B.1.1.529) or Alpha (B.1.1.7) Variants of the SARS-CoV-2 Spike Protein</w:t>
      </w:r>
      <w:r>
        <w:rPr>
          <w:rFonts w:ascii="Tahoma" w:hAnsi="Tahoma" w:cs="Tahoma"/>
          <w:noProof/>
          <w:sz w:val="24"/>
          <w:szCs w:val="24"/>
        </w:rPr>
        <w:t xml:space="preserve"> (including the impact of Tocilizumab on these responses).</w:t>
      </w:r>
    </w:p>
    <w:p w14:paraId="66F48483" w14:textId="77777777" w:rsidR="00740969" w:rsidRPr="00740969" w:rsidRDefault="00740969" w:rsidP="00E0156E">
      <w:pPr>
        <w:spacing w:after="0"/>
        <w:rPr>
          <w:rFonts w:ascii="Tahoma" w:hAnsi="Tahoma" w:cs="Tahoma"/>
          <w:b/>
          <w:bCs/>
          <w:noProof/>
          <w:color w:val="32598A"/>
          <w:sz w:val="16"/>
          <w:szCs w:val="16"/>
        </w:rPr>
      </w:pPr>
    </w:p>
    <w:p w14:paraId="5CFA3287" w14:textId="5D1B335D" w:rsidR="003378B3" w:rsidRPr="00740969" w:rsidRDefault="003378B3" w:rsidP="00740969">
      <w:pPr>
        <w:ind w:right="-360"/>
        <w:rPr>
          <w:rFonts w:ascii="Tahoma" w:hAnsi="Tahoma" w:cs="Tahoma"/>
          <w:noProof/>
          <w:sz w:val="24"/>
          <w:szCs w:val="24"/>
        </w:rPr>
      </w:pPr>
      <w:r w:rsidRPr="0073698D">
        <w:rPr>
          <w:rFonts w:ascii="Tahoma" w:hAnsi="Tahoma" w:cs="Tahoma"/>
          <w:b/>
          <w:bCs/>
          <w:noProof/>
          <w:color w:val="32598A"/>
          <w:sz w:val="28"/>
          <w:szCs w:val="28"/>
        </w:rPr>
        <w:t>Author/s:</w:t>
      </w:r>
      <w:r w:rsidR="00E0156E">
        <w:rPr>
          <w:rFonts w:ascii="Tahoma" w:hAnsi="Tahoma" w:cs="Tahoma"/>
          <w:b/>
          <w:bCs/>
          <w:noProof/>
          <w:color w:val="32598A"/>
          <w:sz w:val="28"/>
          <w:szCs w:val="28"/>
        </w:rPr>
        <w:t xml:space="preserve"> </w:t>
      </w:r>
      <w:r w:rsidR="00740969" w:rsidRPr="00740969">
        <w:rPr>
          <w:rFonts w:ascii="Tahoma" w:hAnsi="Tahoma" w:cs="Tahoma"/>
          <w:noProof/>
          <w:sz w:val="24"/>
          <w:szCs w:val="24"/>
        </w:rPr>
        <w:t>Webb, R</w:t>
      </w:r>
      <w:r w:rsidR="00740969">
        <w:rPr>
          <w:rFonts w:ascii="Tahoma" w:hAnsi="Tahoma" w:cs="Tahoma"/>
          <w:noProof/>
          <w:sz w:val="24"/>
          <w:szCs w:val="24"/>
          <w:vertAlign w:val="superscript"/>
        </w:rPr>
        <w:t>1</w:t>
      </w:r>
      <w:r w:rsidR="00740969" w:rsidRPr="00740969">
        <w:rPr>
          <w:rFonts w:ascii="Tahoma" w:hAnsi="Tahoma" w:cs="Tahoma"/>
          <w:noProof/>
          <w:sz w:val="24"/>
          <w:szCs w:val="24"/>
        </w:rPr>
        <w:t xml:space="preserve">., </w:t>
      </w:r>
      <w:r w:rsidR="00740969">
        <w:rPr>
          <w:rFonts w:ascii="Tahoma" w:hAnsi="Tahoma" w:cs="Tahoma"/>
          <w:noProof/>
          <w:sz w:val="24"/>
          <w:szCs w:val="24"/>
        </w:rPr>
        <w:t>Rees, K</w:t>
      </w:r>
      <w:r w:rsidR="00740969">
        <w:rPr>
          <w:rFonts w:ascii="Tahoma" w:hAnsi="Tahoma" w:cs="Tahoma"/>
          <w:noProof/>
          <w:sz w:val="24"/>
          <w:szCs w:val="24"/>
          <w:vertAlign w:val="superscript"/>
        </w:rPr>
        <w:t>1</w:t>
      </w:r>
      <w:r w:rsidR="00740969">
        <w:rPr>
          <w:rFonts w:ascii="Tahoma" w:hAnsi="Tahoma" w:cs="Tahoma"/>
          <w:noProof/>
          <w:sz w:val="24"/>
          <w:szCs w:val="24"/>
        </w:rPr>
        <w:t>., Massey, I</w:t>
      </w:r>
      <w:r w:rsidR="00740969">
        <w:rPr>
          <w:rFonts w:ascii="Tahoma" w:hAnsi="Tahoma" w:cs="Tahoma"/>
          <w:noProof/>
          <w:sz w:val="24"/>
          <w:szCs w:val="24"/>
          <w:vertAlign w:val="superscript"/>
        </w:rPr>
        <w:t>1</w:t>
      </w:r>
      <w:r w:rsidR="00740969">
        <w:rPr>
          <w:rFonts w:ascii="Tahoma" w:hAnsi="Tahoma" w:cs="Tahoma"/>
          <w:noProof/>
          <w:sz w:val="24"/>
          <w:szCs w:val="24"/>
        </w:rPr>
        <w:t>.,Sarwar, S</w:t>
      </w:r>
      <w:r w:rsidR="00740969">
        <w:rPr>
          <w:rFonts w:ascii="Tahoma" w:hAnsi="Tahoma" w:cs="Tahoma"/>
          <w:noProof/>
          <w:sz w:val="24"/>
          <w:szCs w:val="24"/>
          <w:vertAlign w:val="superscript"/>
        </w:rPr>
        <w:t>1</w:t>
      </w:r>
      <w:r w:rsidR="00740969">
        <w:rPr>
          <w:rFonts w:ascii="Tahoma" w:hAnsi="Tahoma" w:cs="Tahoma"/>
          <w:noProof/>
          <w:sz w:val="24"/>
          <w:szCs w:val="24"/>
        </w:rPr>
        <w:t>.,Aicheler, R</w:t>
      </w:r>
      <w:r w:rsidR="00740969">
        <w:rPr>
          <w:rFonts w:ascii="Tahoma" w:hAnsi="Tahoma" w:cs="Tahoma"/>
          <w:noProof/>
          <w:sz w:val="24"/>
          <w:szCs w:val="24"/>
          <w:vertAlign w:val="superscript"/>
        </w:rPr>
        <w:t>1</w:t>
      </w:r>
      <w:r w:rsidR="00740969">
        <w:rPr>
          <w:rFonts w:ascii="Tahoma" w:hAnsi="Tahoma" w:cs="Tahoma"/>
          <w:noProof/>
          <w:sz w:val="24"/>
          <w:szCs w:val="24"/>
        </w:rPr>
        <w:t>., Butcher, L</w:t>
      </w:r>
      <w:r w:rsidR="00740969">
        <w:rPr>
          <w:rFonts w:ascii="Tahoma" w:hAnsi="Tahoma" w:cs="Tahoma"/>
          <w:noProof/>
          <w:sz w:val="24"/>
          <w:szCs w:val="24"/>
          <w:vertAlign w:val="superscript"/>
        </w:rPr>
        <w:t>1</w:t>
      </w:r>
      <w:r w:rsidR="00740969">
        <w:rPr>
          <w:rFonts w:ascii="Tahoma" w:hAnsi="Tahoma" w:cs="Tahoma"/>
          <w:noProof/>
          <w:sz w:val="24"/>
          <w:szCs w:val="24"/>
        </w:rPr>
        <w:t>., Lynch, C</w:t>
      </w:r>
      <w:r w:rsidR="00740969">
        <w:rPr>
          <w:rFonts w:ascii="Tahoma" w:hAnsi="Tahoma" w:cs="Tahoma"/>
          <w:noProof/>
          <w:sz w:val="24"/>
          <w:szCs w:val="24"/>
          <w:vertAlign w:val="superscript"/>
        </w:rPr>
        <w:t>2</w:t>
      </w:r>
      <w:r w:rsidR="00740969">
        <w:rPr>
          <w:rFonts w:ascii="Tahoma" w:hAnsi="Tahoma" w:cs="Tahoma"/>
          <w:noProof/>
          <w:sz w:val="24"/>
          <w:szCs w:val="24"/>
        </w:rPr>
        <w:t>.</w:t>
      </w:r>
    </w:p>
    <w:p w14:paraId="0EF06F1D" w14:textId="5327E726" w:rsidR="0073698D" w:rsidRDefault="0073698D" w:rsidP="00740969">
      <w:pPr>
        <w:ind w:right="-360"/>
        <w:rPr>
          <w:rFonts w:ascii="Tahoma" w:hAnsi="Tahoma" w:cs="Tahoma"/>
          <w:b/>
          <w:bCs/>
          <w:noProof/>
          <w:color w:val="32598A"/>
          <w:sz w:val="28"/>
          <w:szCs w:val="28"/>
        </w:rPr>
      </w:pPr>
      <w:r>
        <w:rPr>
          <w:rFonts w:ascii="Tahoma" w:hAnsi="Tahoma" w:cs="Tahoma"/>
          <w:b/>
          <w:bCs/>
          <w:noProof/>
          <w:color w:val="32598A"/>
          <w:sz w:val="28"/>
          <w:szCs w:val="28"/>
        </w:rPr>
        <w:t>Department:</w:t>
      </w:r>
      <w:r w:rsidR="00740969" w:rsidRPr="00740969">
        <w:rPr>
          <w:rFonts w:ascii="Tahoma" w:hAnsi="Tahoma" w:cs="Tahoma"/>
          <w:sz w:val="24"/>
          <w:szCs w:val="24"/>
        </w:rPr>
        <w:t xml:space="preserve"> </w:t>
      </w:r>
      <w:r w:rsidR="00740969">
        <w:rPr>
          <w:rFonts w:ascii="Tahoma" w:hAnsi="Tahoma" w:cs="Tahoma"/>
          <w:sz w:val="24"/>
          <w:szCs w:val="24"/>
          <w:vertAlign w:val="superscript"/>
        </w:rPr>
        <w:t>1</w:t>
      </w:r>
      <w:r w:rsidR="00740969">
        <w:rPr>
          <w:rFonts w:ascii="Tahoma" w:hAnsi="Tahoma" w:cs="Tahoma"/>
          <w:noProof/>
          <w:sz w:val="24"/>
          <w:szCs w:val="24"/>
        </w:rPr>
        <w:t xml:space="preserve">Department of Biomedical Sciences, Cardiff School of Sport and Health Sciences, Cardiff Metropolitan University. </w:t>
      </w:r>
      <w:r w:rsidR="00740969">
        <w:rPr>
          <w:rFonts w:ascii="Tahoma" w:hAnsi="Tahoma" w:cs="Tahoma"/>
          <w:noProof/>
          <w:sz w:val="24"/>
          <w:szCs w:val="24"/>
          <w:vertAlign w:val="superscript"/>
        </w:rPr>
        <w:t>2</w:t>
      </w:r>
      <w:r w:rsidR="00740969" w:rsidRPr="00934D86">
        <w:rPr>
          <w:rFonts w:ascii="Tahoma" w:hAnsi="Tahoma" w:cs="Tahoma"/>
          <w:noProof/>
          <w:sz w:val="24"/>
          <w:szCs w:val="24"/>
        </w:rPr>
        <w:t>Intensive Care Unit, Cwm Taf Morgannwg University Health Board</w:t>
      </w:r>
      <w:r w:rsidR="00740969">
        <w:rPr>
          <w:rFonts w:ascii="Tahoma" w:hAnsi="Tahoma" w:cs="Tahoma"/>
          <w:noProof/>
          <w:sz w:val="24"/>
          <w:szCs w:val="24"/>
        </w:rPr>
        <w:t>.</w:t>
      </w:r>
    </w:p>
    <w:p w14:paraId="5C2DF48A" w14:textId="77777777" w:rsidR="001D73FB" w:rsidRPr="00101A21" w:rsidRDefault="001D73FB" w:rsidP="001D73FB">
      <w:pPr>
        <w:shd w:val="clear" w:color="auto" w:fill="32598A"/>
        <w:rPr>
          <w:color w:val="0066CC"/>
        </w:rPr>
      </w:pPr>
    </w:p>
    <w:p w14:paraId="538FA88B" w14:textId="778E61C8" w:rsidR="00400A84" w:rsidRDefault="001D73FB" w:rsidP="00E96BCB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Introduction:</w:t>
      </w:r>
    </w:p>
    <w:p w14:paraId="2C4A1E2F" w14:textId="3E1B92B7" w:rsidR="00740969" w:rsidRDefault="00740969" w:rsidP="00E96BCB">
      <w:pPr>
        <w:spacing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Previous research has suggested that the </w:t>
      </w:r>
      <w:r w:rsidRPr="00B76FCB">
        <w:rPr>
          <w:rFonts w:ascii="Tahoma" w:hAnsi="Tahoma" w:cs="Tahoma"/>
          <w:sz w:val="24"/>
          <w:szCs w:val="24"/>
        </w:rPr>
        <w:t>Interleukin-6 Receptor (IL-6R) gene’s rs2228145 variant</w:t>
      </w:r>
      <w:r>
        <w:rPr>
          <w:rFonts w:ascii="Tahoma" w:hAnsi="Tahoma" w:cs="Tahoma"/>
          <w:sz w:val="24"/>
          <w:szCs w:val="24"/>
        </w:rPr>
        <w:t xml:space="preserve"> may influence patient's responses to COVID-19 infection. We focused on</w:t>
      </w:r>
      <w:r w:rsidRPr="003115F8">
        <w:rPr>
          <w:rFonts w:ascii="Tahoma" w:hAnsi="Tahoma" w:cs="Tahoma"/>
          <w:sz w:val="24"/>
          <w:szCs w:val="24"/>
        </w:rPr>
        <w:t xml:space="preserve"> cell-lines that express different </w:t>
      </w:r>
      <w:r>
        <w:rPr>
          <w:rFonts w:ascii="Tahoma" w:hAnsi="Tahoma" w:cs="Tahoma"/>
          <w:sz w:val="24"/>
          <w:szCs w:val="24"/>
        </w:rPr>
        <w:t>form</w:t>
      </w:r>
      <w:r w:rsidRPr="003115F8">
        <w:rPr>
          <w:rFonts w:ascii="Tahoma" w:hAnsi="Tahoma" w:cs="Tahoma"/>
          <w:sz w:val="24"/>
          <w:szCs w:val="24"/>
        </w:rPr>
        <w:t>s</w:t>
      </w:r>
      <w:r>
        <w:rPr>
          <w:rFonts w:ascii="Tahoma" w:hAnsi="Tahoma" w:cs="Tahoma"/>
          <w:sz w:val="24"/>
          <w:szCs w:val="24"/>
        </w:rPr>
        <w:t xml:space="preserve"> ('genotypes')</w:t>
      </w:r>
      <w:r w:rsidRPr="003115F8">
        <w:rPr>
          <w:rFonts w:ascii="Tahoma" w:hAnsi="Tahoma" w:cs="Tahoma"/>
          <w:sz w:val="24"/>
          <w:szCs w:val="24"/>
        </w:rPr>
        <w:t xml:space="preserve"> of th</w:t>
      </w:r>
      <w:r>
        <w:rPr>
          <w:rFonts w:ascii="Tahoma" w:hAnsi="Tahoma" w:cs="Tahoma"/>
          <w:sz w:val="24"/>
          <w:szCs w:val="24"/>
        </w:rPr>
        <w:t>is genetic variant</w:t>
      </w:r>
      <w:r w:rsidRPr="003115F8">
        <w:rPr>
          <w:rFonts w:ascii="Tahoma" w:hAnsi="Tahoma" w:cs="Tahoma"/>
          <w:sz w:val="24"/>
          <w:szCs w:val="24"/>
        </w:rPr>
        <w:t>: U937 [AA], THP-1 [AC] and MM6 [CC]</w:t>
      </w:r>
      <w:r>
        <w:rPr>
          <w:rFonts w:ascii="Tahoma" w:hAnsi="Tahoma" w:cs="Tahoma"/>
          <w:sz w:val="24"/>
          <w:szCs w:val="24"/>
        </w:rPr>
        <w:t>, in order to</w:t>
      </w:r>
      <w:r w:rsidRPr="003115F8">
        <w:rPr>
          <w:rFonts w:ascii="Tahoma" w:hAnsi="Tahoma" w:cs="Tahoma"/>
          <w:sz w:val="24"/>
          <w:szCs w:val="24"/>
        </w:rPr>
        <w:t xml:space="preserve"> investigat</w:t>
      </w:r>
      <w:r>
        <w:rPr>
          <w:rFonts w:ascii="Tahoma" w:hAnsi="Tahoma" w:cs="Tahoma"/>
          <w:sz w:val="24"/>
          <w:szCs w:val="24"/>
        </w:rPr>
        <w:t>e</w:t>
      </w:r>
      <w:r w:rsidRPr="003115F8">
        <w:rPr>
          <w:rFonts w:ascii="Tahoma" w:hAnsi="Tahoma" w:cs="Tahoma"/>
          <w:sz w:val="24"/>
          <w:szCs w:val="24"/>
        </w:rPr>
        <w:t xml:space="preserve"> the impact of this variant. On</w:t>
      </w:r>
      <w:r>
        <w:rPr>
          <w:rFonts w:ascii="Tahoma" w:hAnsi="Tahoma" w:cs="Tahoma"/>
          <w:sz w:val="24"/>
          <w:szCs w:val="24"/>
        </w:rPr>
        <w:t xml:space="preserve"> </w:t>
      </w:r>
      <w:r w:rsidRPr="004748DE">
        <w:rPr>
          <w:rFonts w:ascii="Tahoma" w:hAnsi="Tahoma" w:cs="Tahoma"/>
          <w:sz w:val="24"/>
          <w:szCs w:val="24"/>
        </w:rPr>
        <w:t xml:space="preserve">COVID-19 </w:t>
      </w:r>
      <w:r w:rsidRPr="003115F8">
        <w:rPr>
          <w:rFonts w:ascii="Tahoma" w:hAnsi="Tahoma" w:cs="Tahoma"/>
          <w:sz w:val="24"/>
          <w:szCs w:val="24"/>
        </w:rPr>
        <w:t>infection (</w:t>
      </w:r>
      <w:r>
        <w:rPr>
          <w:rFonts w:ascii="Tahoma" w:hAnsi="Tahoma" w:cs="Tahoma"/>
          <w:sz w:val="24"/>
          <w:szCs w:val="24"/>
        </w:rPr>
        <w:t xml:space="preserve">mimicked in the laboratory by </w:t>
      </w:r>
      <w:r w:rsidRPr="003115F8">
        <w:rPr>
          <w:rFonts w:ascii="Tahoma" w:hAnsi="Tahoma" w:cs="Tahoma"/>
          <w:sz w:val="24"/>
          <w:szCs w:val="24"/>
        </w:rPr>
        <w:t xml:space="preserve">treatment with </w:t>
      </w:r>
      <w:r>
        <w:rPr>
          <w:rFonts w:ascii="Tahoma" w:hAnsi="Tahoma" w:cs="Tahoma"/>
          <w:sz w:val="24"/>
          <w:szCs w:val="24"/>
        </w:rPr>
        <w:t xml:space="preserve">the coronavirus's </w:t>
      </w:r>
      <w:r w:rsidRPr="003115F8">
        <w:rPr>
          <w:rFonts w:ascii="Tahoma" w:hAnsi="Tahoma" w:cs="Tahoma"/>
          <w:sz w:val="24"/>
          <w:szCs w:val="24"/>
        </w:rPr>
        <w:t>spike protein (SP)), cells release the cytokines Interleukin-6 (IL-6) and soluble IL-6R (sIL-6R), initiating pro-inflammatory trans-signalling. In-vivo, this can lead to “cytokine-storm”, and severe/prolonged COVID-19 symptoms.</w:t>
      </w:r>
    </w:p>
    <w:p w14:paraId="7348F163" w14:textId="42D842E8" w:rsidR="001D73FB" w:rsidRDefault="001D73FB" w:rsidP="00E96BCB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Aim:</w:t>
      </w:r>
    </w:p>
    <w:p w14:paraId="7D8BA29B" w14:textId="41657451" w:rsidR="00740969" w:rsidRDefault="00740969" w:rsidP="00E96BCB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3115F8">
        <w:rPr>
          <w:rFonts w:ascii="Tahoma" w:hAnsi="Tahoma" w:cs="Tahoma"/>
          <w:sz w:val="24"/>
          <w:szCs w:val="24"/>
        </w:rPr>
        <w:t>Our aims were: [i] to determine whether the ability to evoke increases in IL-6</w:t>
      </w:r>
      <w:r>
        <w:rPr>
          <w:rFonts w:ascii="Tahoma" w:hAnsi="Tahoma" w:cs="Tahoma"/>
          <w:sz w:val="24"/>
          <w:szCs w:val="24"/>
        </w:rPr>
        <w:t xml:space="preserve"> and</w:t>
      </w:r>
      <w:r w:rsidRPr="003115F8">
        <w:rPr>
          <w:rFonts w:ascii="Tahoma" w:hAnsi="Tahoma" w:cs="Tahoma"/>
          <w:sz w:val="24"/>
          <w:szCs w:val="24"/>
        </w:rPr>
        <w:t>/</w:t>
      </w:r>
      <w:r>
        <w:rPr>
          <w:rFonts w:ascii="Tahoma" w:hAnsi="Tahoma" w:cs="Tahoma"/>
          <w:sz w:val="24"/>
          <w:szCs w:val="24"/>
        </w:rPr>
        <w:t xml:space="preserve">or </w:t>
      </w:r>
      <w:r w:rsidRPr="003115F8">
        <w:rPr>
          <w:rFonts w:ascii="Tahoma" w:hAnsi="Tahoma" w:cs="Tahoma"/>
          <w:sz w:val="24"/>
          <w:szCs w:val="24"/>
        </w:rPr>
        <w:t xml:space="preserve">sIL-6R differs between </w:t>
      </w:r>
      <w:r>
        <w:rPr>
          <w:rFonts w:ascii="Tahoma" w:hAnsi="Tahoma" w:cs="Tahoma"/>
          <w:sz w:val="24"/>
          <w:szCs w:val="24"/>
        </w:rPr>
        <w:t xml:space="preserve">the </w:t>
      </w:r>
      <w:r w:rsidRPr="003115F8">
        <w:rPr>
          <w:rFonts w:ascii="Tahoma" w:hAnsi="Tahoma" w:cs="Tahoma"/>
          <w:sz w:val="24"/>
          <w:szCs w:val="24"/>
        </w:rPr>
        <w:t>SP</w:t>
      </w:r>
      <w:r>
        <w:rPr>
          <w:rFonts w:ascii="Tahoma" w:hAnsi="Tahoma" w:cs="Tahoma"/>
          <w:sz w:val="24"/>
          <w:szCs w:val="24"/>
        </w:rPr>
        <w:t xml:space="preserve"> of the Alpha coronavirus strain (Alpha-SP) and that of the </w:t>
      </w:r>
      <w:r w:rsidRPr="003115F8">
        <w:rPr>
          <w:rFonts w:ascii="Tahoma" w:hAnsi="Tahoma" w:cs="Tahoma"/>
          <w:sz w:val="24"/>
          <w:szCs w:val="24"/>
        </w:rPr>
        <w:t>Omicron</w:t>
      </w:r>
      <w:r>
        <w:rPr>
          <w:rFonts w:ascii="Tahoma" w:hAnsi="Tahoma" w:cs="Tahoma"/>
          <w:sz w:val="24"/>
          <w:szCs w:val="24"/>
        </w:rPr>
        <w:t xml:space="preserve"> coronavirus strain (Omicron-SP)</w:t>
      </w:r>
      <w:r w:rsidRPr="003115F8">
        <w:rPr>
          <w:rFonts w:ascii="Tahoma" w:hAnsi="Tahoma" w:cs="Tahoma"/>
          <w:sz w:val="24"/>
          <w:szCs w:val="24"/>
        </w:rPr>
        <w:t>; [ii] to evaluate the impact of the IL-6/sIL-6R blocker</w:t>
      </w:r>
      <w:r>
        <w:rPr>
          <w:rFonts w:ascii="Tahoma" w:hAnsi="Tahoma" w:cs="Tahoma"/>
          <w:sz w:val="24"/>
          <w:szCs w:val="24"/>
        </w:rPr>
        <w:t xml:space="preserve"> drug</w:t>
      </w:r>
      <w:r w:rsidRPr="003115F8">
        <w:rPr>
          <w:rFonts w:ascii="Tahoma" w:hAnsi="Tahoma" w:cs="Tahoma"/>
          <w:sz w:val="24"/>
          <w:szCs w:val="24"/>
        </w:rPr>
        <w:t xml:space="preserve"> Tocilizumab on trans-signalling.</w:t>
      </w:r>
    </w:p>
    <w:p w14:paraId="6C2C2F0D" w14:textId="77777777" w:rsidR="00740969" w:rsidRPr="00E96BCB" w:rsidRDefault="00740969" w:rsidP="00E96BCB">
      <w:pPr>
        <w:spacing w:after="0" w:line="240" w:lineRule="auto"/>
        <w:jc w:val="both"/>
        <w:rPr>
          <w:rFonts w:ascii="Tahoma" w:hAnsi="Tahoma" w:cs="Tahoma"/>
          <w:b/>
          <w:bCs/>
          <w:sz w:val="16"/>
          <w:szCs w:val="16"/>
        </w:rPr>
      </w:pPr>
    </w:p>
    <w:p w14:paraId="4F0C03D1" w14:textId="7615E793" w:rsidR="001D73FB" w:rsidRDefault="001D73FB" w:rsidP="00E96BCB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Methodology</w:t>
      </w:r>
      <w:r w:rsidR="00EF0E17">
        <w:rPr>
          <w:rFonts w:ascii="Tahoma" w:hAnsi="Tahoma" w:cs="Tahoma"/>
          <w:b/>
          <w:bCs/>
          <w:sz w:val="24"/>
          <w:szCs w:val="24"/>
        </w:rPr>
        <w:t>:</w:t>
      </w:r>
    </w:p>
    <w:p w14:paraId="4161FB4C" w14:textId="493BD20A" w:rsidR="00740969" w:rsidRDefault="00740969" w:rsidP="00E96BCB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 w:rsidRPr="003115F8">
        <w:rPr>
          <w:rFonts w:ascii="Tahoma" w:hAnsi="Tahoma" w:cs="Tahoma"/>
          <w:sz w:val="24"/>
          <w:szCs w:val="24"/>
        </w:rPr>
        <w:t xml:space="preserve">Cell-lines were treated for Alpha-SP or Omicron-SP (24hrs, 1nM); in some cases, SP-treated samples underwent 2hrs pre-treatment with 10-50µg/ml Tocilizumab. ELISAs determined IL-6 and sIL-6R release from cells. Flow cytometry determined retention of membrane-bound IL-6R (mbIL-6R) on cell-surfaces. </w:t>
      </w:r>
      <w:r>
        <w:rPr>
          <w:rFonts w:ascii="Tahoma" w:hAnsi="Tahoma" w:cs="Tahoma"/>
          <w:sz w:val="24"/>
          <w:szCs w:val="24"/>
        </w:rPr>
        <w:t>Genetic analysis</w:t>
      </w:r>
      <w:r w:rsidRPr="003115F8">
        <w:rPr>
          <w:rFonts w:ascii="Tahoma" w:hAnsi="Tahoma" w:cs="Tahoma"/>
          <w:sz w:val="24"/>
          <w:szCs w:val="24"/>
        </w:rPr>
        <w:t xml:space="preserve"> determined IL-6R mRNA expression. Protein extracts were subjected to Western-blot to determine pSTAT3Y705 and total-STAT3 levels (and hence extent of STAT3 phosphorylation).</w:t>
      </w:r>
    </w:p>
    <w:p w14:paraId="41CCDAF5" w14:textId="77777777" w:rsidR="00312351" w:rsidRPr="00E96BCB" w:rsidRDefault="00312351" w:rsidP="00E96BCB">
      <w:pPr>
        <w:spacing w:after="0" w:line="240" w:lineRule="auto"/>
        <w:jc w:val="both"/>
        <w:rPr>
          <w:rFonts w:ascii="Tahoma" w:hAnsi="Tahoma" w:cs="Tahoma"/>
          <w:sz w:val="16"/>
          <w:szCs w:val="16"/>
        </w:rPr>
      </w:pPr>
    </w:p>
    <w:p w14:paraId="335C0979" w14:textId="16F5A353" w:rsidR="001D73FB" w:rsidRDefault="001D73FB" w:rsidP="00E96BCB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Results:</w:t>
      </w:r>
    </w:p>
    <w:p w14:paraId="68876AE3" w14:textId="32008074" w:rsidR="00740969" w:rsidRDefault="00740969" w:rsidP="00E96BCB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The cells'</w:t>
      </w:r>
      <w:r w:rsidRPr="003115F8">
        <w:rPr>
          <w:rFonts w:ascii="Tahoma" w:hAnsi="Tahoma" w:cs="Tahoma"/>
          <w:sz w:val="24"/>
          <w:szCs w:val="24"/>
        </w:rPr>
        <w:t xml:space="preserve"> genotype</w:t>
      </w:r>
      <w:r>
        <w:rPr>
          <w:rFonts w:ascii="Tahoma" w:hAnsi="Tahoma" w:cs="Tahoma"/>
          <w:sz w:val="24"/>
          <w:szCs w:val="24"/>
        </w:rPr>
        <w:t>s</w:t>
      </w:r>
      <w:r w:rsidRPr="003115F8">
        <w:rPr>
          <w:rFonts w:ascii="Tahoma" w:hAnsi="Tahoma" w:cs="Tahoma"/>
          <w:sz w:val="24"/>
          <w:szCs w:val="24"/>
        </w:rPr>
        <w:t xml:space="preserve"> impacted significantly on</w:t>
      </w:r>
      <w:r>
        <w:rPr>
          <w:rFonts w:ascii="Tahoma" w:hAnsi="Tahoma" w:cs="Tahoma"/>
          <w:sz w:val="24"/>
          <w:szCs w:val="24"/>
        </w:rPr>
        <w:t xml:space="preserve"> their</w:t>
      </w:r>
      <w:r w:rsidRPr="003115F8">
        <w:rPr>
          <w:rFonts w:ascii="Tahoma" w:hAnsi="Tahoma" w:cs="Tahoma"/>
          <w:sz w:val="24"/>
          <w:szCs w:val="24"/>
        </w:rPr>
        <w:t xml:space="preserve"> levels</w:t>
      </w:r>
      <w:r>
        <w:rPr>
          <w:rFonts w:ascii="Tahoma" w:hAnsi="Tahoma" w:cs="Tahoma"/>
          <w:sz w:val="24"/>
          <w:szCs w:val="24"/>
        </w:rPr>
        <w:t xml:space="preserve"> of the 2 forms of the IL-6R protein</w:t>
      </w:r>
      <w:r w:rsidRPr="003115F8">
        <w:rPr>
          <w:rFonts w:ascii="Tahoma" w:hAnsi="Tahoma" w:cs="Tahoma"/>
          <w:sz w:val="24"/>
          <w:szCs w:val="24"/>
        </w:rPr>
        <w:t xml:space="preserve">: sIL-6R release from untreated samples of the 3 cell-lines showed a CC&gt;AC&gt;AA pattern, with Alpha-SP treatment causing significantly larger increases in sIL6R release than Omicron-SP treatment. Conversely, mbIL-6R surface-expression showed an AA&gt;AC&gt;CC pattern, with SP-treatment causing decreased retention of mbIL-6R. Combined with qPCR data showing no rs2228145-associated changes in IL-6R mRNA expression, this suggests that </w:t>
      </w:r>
      <w:r>
        <w:rPr>
          <w:rFonts w:ascii="Tahoma" w:hAnsi="Tahoma" w:cs="Tahoma"/>
          <w:sz w:val="24"/>
          <w:szCs w:val="24"/>
        </w:rPr>
        <w:t>the genotype</w:t>
      </w:r>
      <w:r w:rsidRPr="003115F8">
        <w:rPr>
          <w:rFonts w:ascii="Tahoma" w:hAnsi="Tahoma" w:cs="Tahoma"/>
          <w:sz w:val="24"/>
          <w:szCs w:val="24"/>
        </w:rPr>
        <w:t>’s impact occurs downstream of gene expression. Tocilizumab elicited significant dose-dependent decreases in pSTAT3Y705:total-STAT3 ratios</w:t>
      </w:r>
      <w:r w:rsidR="00E96BCB">
        <w:rPr>
          <w:rFonts w:ascii="Tahoma" w:hAnsi="Tahoma" w:cs="Tahoma"/>
          <w:sz w:val="24"/>
          <w:szCs w:val="24"/>
        </w:rPr>
        <w:t>.</w:t>
      </w:r>
    </w:p>
    <w:p w14:paraId="584CBC34" w14:textId="3D4276AC" w:rsidR="00E96BCB" w:rsidRDefault="00E96BCB" w:rsidP="00E96BCB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</w:p>
    <w:p w14:paraId="39CF8BA9" w14:textId="6A2DB0CD" w:rsidR="00E96BCB" w:rsidRDefault="00E96BCB" w:rsidP="00E96BCB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</w:p>
    <w:p w14:paraId="75E4A394" w14:textId="77777777" w:rsidR="00E96BCB" w:rsidRDefault="00E96BCB" w:rsidP="00E96BCB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</w:p>
    <w:p w14:paraId="79D016C6" w14:textId="2F5E49B9" w:rsidR="001D73FB" w:rsidRDefault="001D73FB" w:rsidP="00E96BCB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lastRenderedPageBreak/>
        <w:t>Conclusion:</w:t>
      </w:r>
    </w:p>
    <w:p w14:paraId="42B29439" w14:textId="77777777" w:rsidR="00E96BCB" w:rsidRDefault="00E96BCB" w:rsidP="00E96BCB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3115F8">
        <w:rPr>
          <w:rFonts w:ascii="Tahoma" w:hAnsi="Tahoma" w:cs="Tahoma"/>
          <w:sz w:val="24"/>
          <w:szCs w:val="24"/>
        </w:rPr>
        <w:t>[i] Alpha-SP triggers stronger IL-6/sIL6R trans-signalling</w:t>
      </w:r>
      <w:r>
        <w:rPr>
          <w:rFonts w:ascii="Tahoma" w:hAnsi="Tahoma" w:cs="Tahoma"/>
          <w:sz w:val="24"/>
          <w:szCs w:val="24"/>
        </w:rPr>
        <w:t xml:space="preserve"> responses</w:t>
      </w:r>
      <w:r w:rsidRPr="003115F8">
        <w:rPr>
          <w:rFonts w:ascii="Tahoma" w:hAnsi="Tahoma" w:cs="Tahoma"/>
          <w:sz w:val="24"/>
          <w:szCs w:val="24"/>
        </w:rPr>
        <w:t xml:space="preserve"> than Omicron-SP, suggesting a mechanism for the greater risk of severe COVID-19 symptoms associated with the Alpha variant</w:t>
      </w:r>
      <w:r>
        <w:rPr>
          <w:rFonts w:ascii="Tahoma" w:hAnsi="Tahoma" w:cs="Tahoma"/>
          <w:sz w:val="24"/>
          <w:szCs w:val="24"/>
        </w:rPr>
        <w:t xml:space="preserve"> of the COVID-19 coronavirus.</w:t>
      </w:r>
    </w:p>
    <w:p w14:paraId="4F3F1918" w14:textId="57ED14C4" w:rsidR="00E96BCB" w:rsidRDefault="00E96BCB" w:rsidP="00E96BCB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 w:rsidRPr="003115F8">
        <w:rPr>
          <w:rFonts w:ascii="Tahoma" w:hAnsi="Tahoma" w:cs="Tahoma"/>
          <w:sz w:val="24"/>
          <w:szCs w:val="24"/>
        </w:rPr>
        <w:t>[ii] Tocilizumab’s inhibitory effect on STAT3 phosphorylation (a downstream step in the IL-6/sIL-6R trans-signalling pathway) suggests a mechanism by which it may achieve beneficial outcomes for COVID-19 and/or long-COVID patients.</w:t>
      </w:r>
    </w:p>
    <w:sectPr w:rsidR="00E96BCB" w:rsidSect="00400A84">
      <w:pgSz w:w="11906" w:h="16838"/>
      <w:pgMar w:top="851" w:right="707" w:bottom="284" w:left="851" w:header="708" w:footer="708" w:gutter="0"/>
      <w:pgBorders w:offsetFrom="page">
        <w:top w:val="single" w:sz="18" w:space="24" w:color="32598A"/>
        <w:left w:val="single" w:sz="18" w:space="24" w:color="32598A"/>
        <w:bottom w:val="single" w:sz="18" w:space="24" w:color="32598A"/>
        <w:right w:val="single" w:sz="18" w:space="24" w:color="32598A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0A84"/>
    <w:rsid w:val="000114E7"/>
    <w:rsid w:val="000B516D"/>
    <w:rsid w:val="001300DE"/>
    <w:rsid w:val="00194A45"/>
    <w:rsid w:val="001D73FB"/>
    <w:rsid w:val="00312351"/>
    <w:rsid w:val="003378B3"/>
    <w:rsid w:val="00400A84"/>
    <w:rsid w:val="0073698D"/>
    <w:rsid w:val="00740969"/>
    <w:rsid w:val="0084790E"/>
    <w:rsid w:val="00957516"/>
    <w:rsid w:val="00A70F30"/>
    <w:rsid w:val="00AC3303"/>
    <w:rsid w:val="00DB03CE"/>
    <w:rsid w:val="00E0156E"/>
    <w:rsid w:val="00E065C5"/>
    <w:rsid w:val="00E96BCB"/>
    <w:rsid w:val="00EF0E17"/>
    <w:rsid w:val="00F057AF"/>
    <w:rsid w:val="00F274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F2186C"/>
  <w15:chartTrackingRefBased/>
  <w15:docId w15:val="{877E3000-28B5-4D8B-ADDD-1BF60278B0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478</Words>
  <Characters>2728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Alison Elliott (CTM UHB - Research and Development)</dc:creator>
  <cp:keywords/>
  <dc:description/>
  <cp:lastModifiedBy>Alison Elliott (CTM UHB - Research and Development)</cp:lastModifiedBy>
  <cp:revision>4</cp:revision>
  <dcterms:created xsi:type="dcterms:W3CDTF">2024-11-13T14:06:00Z</dcterms:created>
  <dcterms:modified xsi:type="dcterms:W3CDTF">2024-11-22T09:27:00Z</dcterms:modified>
</cp:coreProperties>
</file>