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7EC09987"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1B4D91">
        <w:rPr>
          <w:rFonts w:ascii="Tahoma" w:hAnsi="Tahoma" w:cs="Tahoma"/>
          <w:b/>
          <w:bCs/>
          <w:noProof/>
          <w:color w:val="32598A"/>
          <w:sz w:val="28"/>
          <w:szCs w:val="28"/>
        </w:rPr>
        <w:t xml:space="preserve"> 21</w:t>
      </w:r>
    </w:p>
    <w:p w14:paraId="61557F9B" w14:textId="43578D8E" w:rsidR="00B51868" w:rsidRDefault="00B51868" w:rsidP="00E0156E">
      <w:pPr>
        <w:spacing w:after="0"/>
        <w:rPr>
          <w:rFonts w:ascii="Tahoma" w:hAnsi="Tahoma" w:cs="Tahoma"/>
          <w:noProof/>
          <w:sz w:val="24"/>
          <w:szCs w:val="24"/>
        </w:rPr>
      </w:pPr>
      <w:r w:rsidRPr="00271577">
        <w:rPr>
          <w:rFonts w:ascii="Tahoma" w:hAnsi="Tahoma" w:cs="Tahoma"/>
          <w:noProof/>
          <w:sz w:val="24"/>
          <w:szCs w:val="24"/>
        </w:rPr>
        <w:t>Formulating an Achilles Tendinopathy Patient Information Resource - How, Where, Why?</w:t>
      </w:r>
    </w:p>
    <w:p w14:paraId="10DE5FC0" w14:textId="77777777" w:rsidR="00155E04" w:rsidRPr="00155E04" w:rsidRDefault="00155E04" w:rsidP="00E0156E">
      <w:pPr>
        <w:spacing w:after="0"/>
        <w:rPr>
          <w:rFonts w:ascii="Tahoma" w:hAnsi="Tahoma" w:cs="Tahoma"/>
          <w:b/>
          <w:bCs/>
          <w:noProof/>
          <w:color w:val="32598A"/>
          <w:sz w:val="16"/>
          <w:szCs w:val="16"/>
        </w:rPr>
      </w:pPr>
    </w:p>
    <w:p w14:paraId="5CFA3287" w14:textId="31B5E2BE"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B51868" w:rsidRPr="00271577">
        <w:rPr>
          <w:rFonts w:ascii="Tahoma" w:hAnsi="Tahoma" w:cs="Tahoma"/>
          <w:noProof/>
          <w:sz w:val="24"/>
          <w:szCs w:val="24"/>
        </w:rPr>
        <w:t>Davies, M</w:t>
      </w:r>
      <w:r w:rsidR="00B51868" w:rsidRPr="00271577">
        <w:rPr>
          <w:rFonts w:ascii="Tahoma" w:hAnsi="Tahoma" w:cs="Tahoma"/>
          <w:noProof/>
          <w:sz w:val="24"/>
          <w:szCs w:val="24"/>
          <w:vertAlign w:val="superscript"/>
        </w:rPr>
        <w:t>1</w:t>
      </w:r>
      <w:r w:rsidR="00B51868" w:rsidRPr="00271577">
        <w:rPr>
          <w:rFonts w:ascii="Tahoma" w:hAnsi="Tahoma" w:cs="Tahoma"/>
          <w:noProof/>
          <w:sz w:val="24"/>
          <w:szCs w:val="24"/>
        </w:rPr>
        <w:t>., Martin, R</w:t>
      </w:r>
      <w:r w:rsidR="001B391B" w:rsidRPr="00271577">
        <w:rPr>
          <w:rFonts w:ascii="Tahoma" w:hAnsi="Tahoma" w:cs="Tahoma"/>
          <w:noProof/>
          <w:sz w:val="24"/>
          <w:szCs w:val="24"/>
          <w:vertAlign w:val="superscript"/>
        </w:rPr>
        <w:t>2</w:t>
      </w:r>
      <w:r w:rsidR="00B51868" w:rsidRPr="00271577">
        <w:rPr>
          <w:rFonts w:ascii="Tahoma" w:hAnsi="Tahoma" w:cs="Tahoma"/>
          <w:noProof/>
          <w:sz w:val="24"/>
          <w:szCs w:val="24"/>
        </w:rPr>
        <w:t>., Morgan, G</w:t>
      </w:r>
      <w:r w:rsidR="001B391B" w:rsidRPr="00271577">
        <w:rPr>
          <w:rFonts w:ascii="Tahoma" w:hAnsi="Tahoma" w:cs="Tahoma"/>
          <w:noProof/>
          <w:sz w:val="24"/>
          <w:szCs w:val="24"/>
          <w:vertAlign w:val="superscript"/>
        </w:rPr>
        <w:t>3</w:t>
      </w:r>
      <w:r w:rsidR="00B51868" w:rsidRPr="00271577">
        <w:rPr>
          <w:rFonts w:ascii="Tahoma" w:hAnsi="Tahoma" w:cs="Tahoma"/>
          <w:noProof/>
          <w:sz w:val="24"/>
          <w:szCs w:val="24"/>
        </w:rPr>
        <w:t>.</w:t>
      </w:r>
    </w:p>
    <w:p w14:paraId="0EF06F1D" w14:textId="29C85ABB" w:rsidR="0073698D" w:rsidRPr="00B51868"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B51868">
        <w:rPr>
          <w:rFonts w:ascii="Tahoma" w:hAnsi="Tahoma" w:cs="Tahoma"/>
          <w:b/>
          <w:bCs/>
          <w:noProof/>
          <w:color w:val="32598A"/>
          <w:sz w:val="28"/>
          <w:szCs w:val="28"/>
        </w:rPr>
        <w:t xml:space="preserve"> </w:t>
      </w:r>
      <w:r w:rsidR="00B51868" w:rsidRPr="00271577">
        <w:rPr>
          <w:rFonts w:ascii="Tahoma" w:hAnsi="Tahoma" w:cs="Tahoma"/>
          <w:b/>
          <w:bCs/>
          <w:noProof/>
          <w:sz w:val="24"/>
          <w:szCs w:val="24"/>
          <w:vertAlign w:val="superscript"/>
        </w:rPr>
        <w:t>1</w:t>
      </w:r>
      <w:r w:rsidR="00B51868" w:rsidRPr="00271577">
        <w:rPr>
          <w:rFonts w:ascii="Tahoma" w:hAnsi="Tahoma" w:cs="Tahoma"/>
          <w:noProof/>
          <w:sz w:val="24"/>
          <w:szCs w:val="24"/>
        </w:rPr>
        <w:t>Student,</w:t>
      </w:r>
      <w:r w:rsidR="00B51868" w:rsidRPr="00271577">
        <w:rPr>
          <w:rFonts w:ascii="Tahoma" w:hAnsi="Tahoma" w:cs="Tahoma"/>
          <w:b/>
          <w:bCs/>
          <w:noProof/>
          <w:color w:val="32598A"/>
          <w:sz w:val="24"/>
          <w:szCs w:val="24"/>
        </w:rPr>
        <w:t xml:space="preserve"> </w:t>
      </w:r>
      <w:r w:rsidR="00B51868" w:rsidRPr="00271577">
        <w:rPr>
          <w:rFonts w:ascii="Tahoma" w:hAnsi="Tahoma" w:cs="Tahoma"/>
          <w:noProof/>
          <w:sz w:val="24"/>
          <w:szCs w:val="24"/>
        </w:rPr>
        <w:t xml:space="preserve">Cardiff University. </w:t>
      </w:r>
      <w:r w:rsidR="001B391B" w:rsidRPr="00271577">
        <w:rPr>
          <w:rFonts w:ascii="Tahoma" w:hAnsi="Tahoma" w:cs="Tahoma"/>
          <w:noProof/>
          <w:sz w:val="24"/>
          <w:szCs w:val="24"/>
          <w:vertAlign w:val="superscript"/>
        </w:rPr>
        <w:t>3</w:t>
      </w:r>
      <w:r w:rsidR="00B51868" w:rsidRPr="00271577">
        <w:rPr>
          <w:rFonts w:ascii="Tahoma" w:hAnsi="Tahoma" w:cs="Tahoma"/>
          <w:noProof/>
          <w:sz w:val="24"/>
          <w:szCs w:val="24"/>
        </w:rPr>
        <w:t>Podiatry,</w:t>
      </w:r>
      <w:r w:rsidR="001B391B" w:rsidRPr="00271577">
        <w:rPr>
          <w:rFonts w:ascii="Tahoma" w:hAnsi="Tahoma" w:cs="Tahoma"/>
          <w:noProof/>
          <w:sz w:val="24"/>
          <w:szCs w:val="24"/>
        </w:rPr>
        <w:t xml:space="preserve"> Cwm Taf Morgannwg University Health Board. </w:t>
      </w:r>
      <w:r w:rsidR="001B391B" w:rsidRPr="00271577">
        <w:rPr>
          <w:rFonts w:ascii="Tahoma" w:hAnsi="Tahoma" w:cs="Tahoma"/>
          <w:noProof/>
          <w:sz w:val="24"/>
          <w:szCs w:val="24"/>
          <w:vertAlign w:val="superscript"/>
        </w:rPr>
        <w:t>2</w:t>
      </w:r>
      <w:r w:rsidR="001B391B" w:rsidRPr="00271577">
        <w:rPr>
          <w:rFonts w:ascii="Tahoma" w:hAnsi="Tahoma" w:cs="Tahoma"/>
          <w:noProof/>
          <w:sz w:val="24"/>
          <w:szCs w:val="24"/>
        </w:rPr>
        <w:t>Sports and Exercise Medicine, Cwm Taf Morgannwg University Health Board</w:t>
      </w:r>
    </w:p>
    <w:p w14:paraId="5C2DF48A" w14:textId="77777777" w:rsidR="001D73FB" w:rsidRPr="00101A21" w:rsidRDefault="001D73FB" w:rsidP="001D73FB">
      <w:pPr>
        <w:shd w:val="clear" w:color="auto" w:fill="32598A"/>
        <w:rPr>
          <w:color w:val="0066CC"/>
        </w:rPr>
      </w:pPr>
    </w:p>
    <w:p w14:paraId="538FA88B" w14:textId="342732D9" w:rsidR="00400A84" w:rsidRDefault="001D73FB" w:rsidP="00271577">
      <w:pPr>
        <w:spacing w:after="0" w:line="240" w:lineRule="auto"/>
        <w:jc w:val="both"/>
        <w:rPr>
          <w:rFonts w:ascii="Tahoma" w:hAnsi="Tahoma" w:cs="Tahoma"/>
          <w:b/>
          <w:bCs/>
          <w:sz w:val="24"/>
          <w:szCs w:val="24"/>
        </w:rPr>
      </w:pPr>
      <w:r>
        <w:rPr>
          <w:rFonts w:ascii="Tahoma" w:hAnsi="Tahoma" w:cs="Tahoma"/>
          <w:b/>
          <w:bCs/>
          <w:sz w:val="24"/>
          <w:szCs w:val="24"/>
        </w:rPr>
        <w:t>Introduction:</w:t>
      </w:r>
    </w:p>
    <w:p w14:paraId="5ED682D3" w14:textId="31991956" w:rsidR="001B391B" w:rsidRDefault="001B391B" w:rsidP="00271577">
      <w:pPr>
        <w:spacing w:line="240" w:lineRule="auto"/>
        <w:jc w:val="both"/>
        <w:rPr>
          <w:rFonts w:ascii="Tahoma" w:hAnsi="Tahoma" w:cs="Tahoma"/>
          <w:b/>
          <w:bCs/>
          <w:sz w:val="24"/>
          <w:szCs w:val="24"/>
        </w:rPr>
      </w:pPr>
      <w:r w:rsidRPr="00133BF4">
        <w:rPr>
          <w:rFonts w:ascii="Tahoma" w:hAnsi="Tahoma" w:cs="Tahoma"/>
          <w:noProof/>
          <w:sz w:val="24"/>
          <w:szCs w:val="24"/>
        </w:rPr>
        <w:t>Currently, no patient information resource regarding Achilles tendinopathy is universally used within the Cwm Taf University Health Board. Despite this, the BMA advocates that accurate but comprehensible patient information is fundamental to patient-centred care, empowering patients to make informed choices and self-manage where appropriate. Therefore, strategies to effectively impart knowledge to patients, enhancing health literacy, are essential.</w:t>
      </w:r>
    </w:p>
    <w:p w14:paraId="7348F163" w14:textId="3816699D" w:rsidR="001D73FB" w:rsidRDefault="001D73FB" w:rsidP="00271577">
      <w:pPr>
        <w:spacing w:after="0" w:line="240" w:lineRule="auto"/>
        <w:jc w:val="both"/>
        <w:rPr>
          <w:rFonts w:ascii="Tahoma" w:hAnsi="Tahoma" w:cs="Tahoma"/>
          <w:b/>
          <w:bCs/>
          <w:sz w:val="24"/>
          <w:szCs w:val="24"/>
        </w:rPr>
      </w:pPr>
      <w:r>
        <w:rPr>
          <w:rFonts w:ascii="Tahoma" w:hAnsi="Tahoma" w:cs="Tahoma"/>
          <w:b/>
          <w:bCs/>
          <w:sz w:val="24"/>
          <w:szCs w:val="24"/>
        </w:rPr>
        <w:t>Aim:</w:t>
      </w:r>
    </w:p>
    <w:p w14:paraId="47363167" w14:textId="77777777" w:rsidR="001B391B" w:rsidRPr="00133BF4" w:rsidRDefault="001B391B" w:rsidP="00271577">
      <w:pPr>
        <w:spacing w:after="0" w:line="240" w:lineRule="auto"/>
        <w:jc w:val="both"/>
        <w:rPr>
          <w:rFonts w:ascii="Tahoma" w:hAnsi="Tahoma" w:cs="Tahoma"/>
          <w:noProof/>
          <w:sz w:val="24"/>
          <w:szCs w:val="24"/>
        </w:rPr>
      </w:pPr>
      <w:r w:rsidRPr="00133BF4">
        <w:rPr>
          <w:rFonts w:ascii="Tahoma" w:hAnsi="Tahoma" w:cs="Tahoma"/>
          <w:noProof/>
          <w:sz w:val="24"/>
          <w:szCs w:val="24"/>
        </w:rPr>
        <w:t>1.</w:t>
      </w:r>
      <w:r w:rsidRPr="00133BF4">
        <w:rPr>
          <w:rFonts w:ascii="Tahoma" w:hAnsi="Tahoma" w:cs="Tahoma"/>
          <w:noProof/>
          <w:sz w:val="24"/>
          <w:szCs w:val="24"/>
        </w:rPr>
        <w:tab/>
        <w:t>Assess available guidance and best-practice evidence for formulating patient information leaflets.</w:t>
      </w:r>
    </w:p>
    <w:p w14:paraId="4EDE74DD" w14:textId="0BBFA073" w:rsidR="001B391B" w:rsidRDefault="001B391B" w:rsidP="00271577">
      <w:pPr>
        <w:spacing w:after="0" w:line="240" w:lineRule="auto"/>
        <w:jc w:val="both"/>
        <w:rPr>
          <w:rFonts w:ascii="Tahoma" w:hAnsi="Tahoma" w:cs="Tahoma"/>
          <w:noProof/>
          <w:sz w:val="24"/>
          <w:szCs w:val="24"/>
        </w:rPr>
      </w:pPr>
      <w:r w:rsidRPr="00133BF4">
        <w:rPr>
          <w:rFonts w:ascii="Tahoma" w:hAnsi="Tahoma" w:cs="Tahoma"/>
          <w:noProof/>
          <w:sz w:val="24"/>
          <w:szCs w:val="24"/>
        </w:rPr>
        <w:t>2.</w:t>
      </w:r>
      <w:r w:rsidRPr="00133BF4">
        <w:rPr>
          <w:rFonts w:ascii="Tahoma" w:hAnsi="Tahoma" w:cs="Tahoma"/>
          <w:noProof/>
          <w:sz w:val="24"/>
          <w:szCs w:val="24"/>
        </w:rPr>
        <w:tab/>
        <w:t>Evaluate the readability of currently available online NHS Achilles tendinopathy patient information resources.</w:t>
      </w:r>
    </w:p>
    <w:p w14:paraId="517AFFE4" w14:textId="77777777" w:rsidR="001B391B" w:rsidRPr="001B391B" w:rsidRDefault="001B391B" w:rsidP="00271577">
      <w:pPr>
        <w:spacing w:after="0" w:line="240" w:lineRule="auto"/>
        <w:jc w:val="both"/>
        <w:rPr>
          <w:rFonts w:ascii="Tahoma" w:hAnsi="Tahoma" w:cs="Tahoma"/>
          <w:b/>
          <w:bCs/>
          <w:sz w:val="16"/>
          <w:szCs w:val="16"/>
        </w:rPr>
      </w:pPr>
    </w:p>
    <w:p w14:paraId="4F0C03D1" w14:textId="104C5553" w:rsidR="001D73FB" w:rsidRDefault="001D73FB" w:rsidP="00271577">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698936E9" w14:textId="77777777" w:rsidR="001B391B" w:rsidRPr="00133BF4" w:rsidRDefault="001B391B" w:rsidP="00271577">
      <w:pPr>
        <w:spacing w:line="240" w:lineRule="auto"/>
        <w:jc w:val="both"/>
        <w:rPr>
          <w:rFonts w:ascii="Tahoma" w:hAnsi="Tahoma" w:cs="Tahoma"/>
          <w:noProof/>
          <w:sz w:val="24"/>
          <w:szCs w:val="24"/>
        </w:rPr>
      </w:pPr>
      <w:r w:rsidRPr="00133BF4">
        <w:rPr>
          <w:rFonts w:ascii="Tahoma" w:hAnsi="Tahoma" w:cs="Tahoma"/>
          <w:noProof/>
          <w:sz w:val="24"/>
          <w:szCs w:val="24"/>
        </w:rPr>
        <w:t xml:space="preserve">A literature review, using Medline, was completed to uncover which aspects of patient information resources make them effective. </w:t>
      </w:r>
    </w:p>
    <w:p w14:paraId="41CCDAF5" w14:textId="76B7BCCB" w:rsidR="00312351" w:rsidRDefault="001B391B" w:rsidP="00271577">
      <w:pPr>
        <w:spacing w:after="0" w:line="240" w:lineRule="auto"/>
        <w:jc w:val="both"/>
        <w:rPr>
          <w:rFonts w:ascii="Tahoma" w:hAnsi="Tahoma" w:cs="Tahoma"/>
          <w:noProof/>
          <w:sz w:val="24"/>
          <w:szCs w:val="24"/>
        </w:rPr>
      </w:pPr>
      <w:r w:rsidRPr="00133BF4">
        <w:rPr>
          <w:rFonts w:ascii="Tahoma" w:hAnsi="Tahoma" w:cs="Tahoma"/>
          <w:noProof/>
          <w:sz w:val="24"/>
          <w:szCs w:val="24"/>
        </w:rPr>
        <w:t>A review of the readability of all available online NHS patient information resources for Achilles tendinopathy was conducted, calculating and comparing Flesch Reading Ease (FRE) scores and Flesch-Kincaid Levels (FKGL).</w:t>
      </w:r>
    </w:p>
    <w:p w14:paraId="01D2B854" w14:textId="77777777" w:rsidR="001B391B" w:rsidRPr="001B391B" w:rsidRDefault="001B391B" w:rsidP="00271577">
      <w:pPr>
        <w:spacing w:after="0" w:line="240" w:lineRule="auto"/>
        <w:jc w:val="both"/>
        <w:rPr>
          <w:rFonts w:ascii="Tahoma" w:hAnsi="Tahoma" w:cs="Tahoma"/>
          <w:sz w:val="16"/>
          <w:szCs w:val="16"/>
        </w:rPr>
      </w:pPr>
    </w:p>
    <w:p w14:paraId="335C0979" w14:textId="49D5925D" w:rsidR="001D73FB" w:rsidRDefault="001D73FB" w:rsidP="00271577">
      <w:pPr>
        <w:spacing w:after="0" w:line="240" w:lineRule="auto"/>
        <w:jc w:val="both"/>
        <w:rPr>
          <w:rFonts w:ascii="Tahoma" w:hAnsi="Tahoma" w:cs="Tahoma"/>
          <w:b/>
          <w:bCs/>
          <w:sz w:val="24"/>
          <w:szCs w:val="24"/>
        </w:rPr>
      </w:pPr>
      <w:r>
        <w:rPr>
          <w:rFonts w:ascii="Tahoma" w:hAnsi="Tahoma" w:cs="Tahoma"/>
          <w:b/>
          <w:bCs/>
          <w:sz w:val="24"/>
          <w:szCs w:val="24"/>
        </w:rPr>
        <w:t>Results:</w:t>
      </w:r>
    </w:p>
    <w:p w14:paraId="4378CBDA" w14:textId="161D2326" w:rsidR="001B391B" w:rsidRDefault="001B391B" w:rsidP="00271577">
      <w:pPr>
        <w:spacing w:after="0" w:line="240" w:lineRule="auto"/>
        <w:jc w:val="both"/>
        <w:rPr>
          <w:rFonts w:ascii="Tahoma" w:hAnsi="Tahoma" w:cs="Tahoma"/>
          <w:sz w:val="24"/>
          <w:szCs w:val="24"/>
        </w:rPr>
      </w:pPr>
      <w:r w:rsidRPr="00133BF4">
        <w:rPr>
          <w:rFonts w:ascii="Tahoma" w:hAnsi="Tahoma" w:cs="Tahoma"/>
          <w:sz w:val="24"/>
          <w:szCs w:val="24"/>
        </w:rPr>
        <w:t xml:space="preserve">Typography, larger text headings and bullet points aid navigation. Pictograms markedly increase attention and patient adherence. Implementation of videos has been shown to be of particular benefit for patients with lower literacy levels. This is pertinent when 12% of the Welsh adult population lack basic literacy skills. Thus, the resource should aim to achieve a FRE score above 70. </w:t>
      </w:r>
    </w:p>
    <w:p w14:paraId="5C909DE2" w14:textId="1F20AC25" w:rsidR="001B391B" w:rsidRDefault="001B391B" w:rsidP="00271577">
      <w:pPr>
        <w:spacing w:line="240" w:lineRule="auto"/>
        <w:jc w:val="both"/>
        <w:rPr>
          <w:rFonts w:ascii="Tahoma" w:hAnsi="Tahoma" w:cs="Tahoma"/>
          <w:noProof/>
          <w:sz w:val="24"/>
          <w:szCs w:val="24"/>
        </w:rPr>
      </w:pPr>
      <w:r w:rsidRPr="00133BF4">
        <w:rPr>
          <w:rFonts w:ascii="Tahoma" w:hAnsi="Tahoma" w:cs="Tahoma"/>
          <w:noProof/>
          <w:sz w:val="24"/>
          <w:szCs w:val="24"/>
        </w:rPr>
        <w:t>20 online NHS Achilles tendinopathy patient information resources were analysed. The FRE range was 34.4. Coventry and Warwickshire had the most readable resource achieving an FRE of 74.1 (equivalent to a reading age of 12 in the U.K.). The superlative format for the resource is online. It will include pictograms and links to videos demonstrating exercises.</w:t>
      </w:r>
    </w:p>
    <w:p w14:paraId="1F3DF4A4" w14:textId="77777777" w:rsidR="001B391B" w:rsidRDefault="001D73FB" w:rsidP="00271577">
      <w:pPr>
        <w:spacing w:after="0" w:line="240" w:lineRule="auto"/>
        <w:jc w:val="both"/>
        <w:rPr>
          <w:rFonts w:ascii="Tahoma" w:hAnsi="Tahoma" w:cs="Tahoma"/>
          <w:b/>
          <w:bCs/>
          <w:sz w:val="24"/>
          <w:szCs w:val="24"/>
        </w:rPr>
      </w:pPr>
      <w:r>
        <w:rPr>
          <w:rFonts w:ascii="Tahoma" w:hAnsi="Tahoma" w:cs="Tahoma"/>
          <w:b/>
          <w:bCs/>
          <w:sz w:val="24"/>
          <w:szCs w:val="24"/>
        </w:rPr>
        <w:t>Conclusion:</w:t>
      </w:r>
    </w:p>
    <w:p w14:paraId="62E7BC0C" w14:textId="7210BF45" w:rsidR="001B391B" w:rsidRDefault="001B391B" w:rsidP="00271577">
      <w:pPr>
        <w:spacing w:after="0" w:line="240" w:lineRule="auto"/>
        <w:jc w:val="both"/>
        <w:rPr>
          <w:rFonts w:ascii="Tahoma" w:hAnsi="Tahoma" w:cs="Tahoma"/>
          <w:noProof/>
          <w:sz w:val="24"/>
          <w:szCs w:val="24"/>
        </w:rPr>
      </w:pPr>
      <w:r w:rsidRPr="00133BF4">
        <w:rPr>
          <w:rFonts w:ascii="Tahoma" w:hAnsi="Tahoma" w:cs="Tahoma"/>
          <w:noProof/>
          <w:sz w:val="24"/>
          <w:szCs w:val="24"/>
        </w:rPr>
        <w:t>The findings from this study provide the basis for a patient information resource that effectively imparts knowledge but also facilitates patient comprehension through improved readability.</w:t>
      </w:r>
    </w:p>
    <w:p w14:paraId="335DA484" w14:textId="0786B09B" w:rsidR="001B391B" w:rsidRDefault="001B391B" w:rsidP="00271577">
      <w:pPr>
        <w:spacing w:after="0" w:line="240" w:lineRule="auto"/>
        <w:jc w:val="both"/>
        <w:rPr>
          <w:rFonts w:ascii="Tahoma" w:hAnsi="Tahoma" w:cs="Tahoma"/>
          <w:b/>
          <w:bCs/>
          <w:sz w:val="24"/>
          <w:szCs w:val="24"/>
        </w:rPr>
      </w:pPr>
      <w:r w:rsidRPr="00133BF4">
        <w:rPr>
          <w:rFonts w:ascii="Tahoma" w:hAnsi="Tahoma" w:cs="Tahoma"/>
          <w:noProof/>
          <w:sz w:val="24"/>
          <w:szCs w:val="24"/>
        </w:rPr>
        <w:t>Improving these two areas could result in greater patient engagement and clinical outcomes</w:t>
      </w:r>
      <w:r w:rsidR="00155E04">
        <w:rPr>
          <w:rFonts w:ascii="Tahoma" w:hAnsi="Tahoma" w:cs="Tahoma"/>
          <w:noProof/>
          <w:sz w:val="24"/>
          <w:szCs w:val="24"/>
        </w:rPr>
        <w:t>.</w:t>
      </w:r>
    </w:p>
    <w:sectPr w:rsidR="001B391B"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55E04"/>
    <w:rsid w:val="00194A45"/>
    <w:rsid w:val="001B391B"/>
    <w:rsid w:val="001B4D91"/>
    <w:rsid w:val="001D73FB"/>
    <w:rsid w:val="00271577"/>
    <w:rsid w:val="00312351"/>
    <w:rsid w:val="003378B3"/>
    <w:rsid w:val="00400A84"/>
    <w:rsid w:val="0073698D"/>
    <w:rsid w:val="0084790E"/>
    <w:rsid w:val="008C536E"/>
    <w:rsid w:val="00957516"/>
    <w:rsid w:val="00A70F30"/>
    <w:rsid w:val="00AC3303"/>
    <w:rsid w:val="00B51868"/>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369</Words>
  <Characters>2107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6</cp:revision>
  <dcterms:created xsi:type="dcterms:W3CDTF">2024-11-05T14:24:00Z</dcterms:created>
  <dcterms:modified xsi:type="dcterms:W3CDTF">2024-11-22T09:27:00Z</dcterms:modified>
</cp:coreProperties>
</file>