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7DFDEAB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F7F5F">
        <w:rPr>
          <w:rFonts w:ascii="Tahoma" w:hAnsi="Tahoma" w:cs="Tahoma"/>
          <w:b/>
          <w:bCs/>
          <w:noProof/>
          <w:color w:val="32598A"/>
          <w:sz w:val="28"/>
          <w:szCs w:val="28"/>
        </w:rPr>
        <w:t xml:space="preserve"> 15</w:t>
      </w:r>
    </w:p>
    <w:p w14:paraId="07B9F5F0" w14:textId="77777777" w:rsidR="00623712" w:rsidRPr="00935A7A" w:rsidRDefault="00623712" w:rsidP="00623712">
      <w:pPr>
        <w:ind w:right="-360"/>
        <w:rPr>
          <w:rFonts w:ascii="Tahoma" w:hAnsi="Tahoma" w:cs="Tahoma"/>
          <w:noProof/>
          <w:sz w:val="24"/>
          <w:szCs w:val="24"/>
        </w:rPr>
      </w:pPr>
      <w:r w:rsidRPr="00935A7A">
        <w:rPr>
          <w:rFonts w:ascii="Tahoma" w:hAnsi="Tahoma" w:cs="Tahoma"/>
          <w:sz w:val="24"/>
          <w:szCs w:val="24"/>
        </w:rPr>
        <w:t>Symptom Early Warning Scores</w:t>
      </w:r>
    </w:p>
    <w:p w14:paraId="5CFA3287" w14:textId="6A96FB61"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623712" w:rsidRPr="00623712">
        <w:rPr>
          <w:rFonts w:ascii="Tahoma" w:hAnsi="Tahoma" w:cs="Tahoma"/>
          <w:sz w:val="24"/>
          <w:szCs w:val="24"/>
        </w:rPr>
        <w:t xml:space="preserve"> </w:t>
      </w:r>
      <w:r w:rsidR="00623712" w:rsidRPr="00935A7A">
        <w:rPr>
          <w:rFonts w:ascii="Tahoma" w:hAnsi="Tahoma" w:cs="Tahoma"/>
          <w:sz w:val="24"/>
          <w:szCs w:val="24"/>
        </w:rPr>
        <w:t>Cook-Young, A</w:t>
      </w:r>
      <w:r w:rsidR="00935A7A">
        <w:rPr>
          <w:rFonts w:ascii="Tahoma" w:hAnsi="Tahoma" w:cs="Tahoma"/>
          <w:sz w:val="24"/>
          <w:szCs w:val="24"/>
          <w:vertAlign w:val="superscript"/>
        </w:rPr>
        <w:t>1</w:t>
      </w:r>
      <w:r w:rsidR="00623712" w:rsidRPr="00935A7A">
        <w:rPr>
          <w:rFonts w:ascii="Tahoma" w:hAnsi="Tahoma" w:cs="Tahoma"/>
          <w:sz w:val="24"/>
          <w:szCs w:val="24"/>
        </w:rPr>
        <w:t>., Grzybowska, P</w:t>
      </w:r>
      <w:r w:rsidR="00935A7A">
        <w:rPr>
          <w:rFonts w:ascii="Tahoma" w:hAnsi="Tahoma" w:cs="Tahoma"/>
          <w:sz w:val="24"/>
          <w:szCs w:val="24"/>
          <w:vertAlign w:val="superscript"/>
        </w:rPr>
        <w:t>2</w:t>
      </w:r>
      <w:r w:rsidR="00623712">
        <w:rPr>
          <w:rFonts w:ascii="Tahoma" w:hAnsi="Tahoma" w:cs="Tahoma"/>
          <w:sz w:val="28"/>
          <w:szCs w:val="28"/>
        </w:rPr>
        <w:t xml:space="preserve">. </w:t>
      </w:r>
      <w:r w:rsidR="00E0156E">
        <w:rPr>
          <w:rFonts w:ascii="Tahoma" w:hAnsi="Tahoma" w:cs="Tahoma"/>
          <w:b/>
          <w:bCs/>
          <w:noProof/>
          <w:color w:val="32598A"/>
          <w:sz w:val="28"/>
          <w:szCs w:val="28"/>
        </w:rPr>
        <w:t xml:space="preserve"> </w:t>
      </w:r>
    </w:p>
    <w:p w14:paraId="0EB84555" w14:textId="75EFE87F" w:rsidR="00623712" w:rsidRPr="00935A7A" w:rsidRDefault="0073698D" w:rsidP="00623712">
      <w:pPr>
        <w:spacing w:after="0"/>
        <w:ind w:right="-360"/>
        <w:rPr>
          <w:rFonts w:ascii="Tahoma" w:hAnsi="Tahoma" w:cs="Tahoma"/>
          <w:noProof/>
          <w:sz w:val="24"/>
          <w:szCs w:val="24"/>
        </w:rPr>
      </w:pPr>
      <w:r>
        <w:rPr>
          <w:rFonts w:ascii="Tahoma" w:hAnsi="Tahoma" w:cs="Tahoma"/>
          <w:b/>
          <w:bCs/>
          <w:noProof/>
          <w:color w:val="32598A"/>
          <w:sz w:val="28"/>
          <w:szCs w:val="28"/>
        </w:rPr>
        <w:t>Department:</w:t>
      </w:r>
      <w:r w:rsidR="00623712">
        <w:rPr>
          <w:rFonts w:ascii="Tahoma" w:hAnsi="Tahoma" w:cs="Tahoma"/>
          <w:b/>
          <w:bCs/>
          <w:noProof/>
          <w:color w:val="32598A"/>
          <w:sz w:val="28"/>
          <w:szCs w:val="28"/>
        </w:rPr>
        <w:t xml:space="preserve"> </w:t>
      </w:r>
      <w:r w:rsidR="00935A7A">
        <w:rPr>
          <w:rFonts w:ascii="Tahoma" w:hAnsi="Tahoma" w:cs="Tahoma"/>
          <w:b/>
          <w:bCs/>
          <w:noProof/>
          <w:color w:val="32598A"/>
          <w:sz w:val="28"/>
          <w:szCs w:val="28"/>
          <w:vertAlign w:val="superscript"/>
        </w:rPr>
        <w:t>1</w:t>
      </w:r>
      <w:r w:rsidR="00623712" w:rsidRPr="00935A7A">
        <w:rPr>
          <w:rFonts w:ascii="Tahoma" w:hAnsi="Tahoma" w:cs="Tahoma"/>
          <w:noProof/>
          <w:sz w:val="24"/>
          <w:szCs w:val="24"/>
        </w:rPr>
        <w:t>Palliative Care, Cwm Taf Morgannwg University Health Board</w:t>
      </w:r>
      <w:r w:rsidR="00935A7A">
        <w:rPr>
          <w:rFonts w:ascii="Tahoma" w:hAnsi="Tahoma" w:cs="Tahoma"/>
          <w:noProof/>
          <w:sz w:val="24"/>
          <w:szCs w:val="24"/>
        </w:rPr>
        <w:t>.</w:t>
      </w:r>
    </w:p>
    <w:p w14:paraId="562498A4" w14:textId="55009C6D" w:rsidR="00935A7A" w:rsidRPr="00935A7A" w:rsidRDefault="00935A7A" w:rsidP="00623712">
      <w:pPr>
        <w:spacing w:after="0"/>
        <w:ind w:right="-360"/>
        <w:rPr>
          <w:rFonts w:ascii="Tahoma" w:hAnsi="Tahoma" w:cs="Tahoma"/>
          <w:b/>
          <w:bCs/>
          <w:noProof/>
          <w:color w:val="32598A"/>
          <w:sz w:val="24"/>
          <w:szCs w:val="24"/>
        </w:rPr>
      </w:pPr>
      <w:r>
        <w:rPr>
          <w:rFonts w:ascii="Tahoma" w:hAnsi="Tahoma" w:cs="Tahoma"/>
          <w:noProof/>
          <w:sz w:val="24"/>
          <w:szCs w:val="24"/>
          <w:vertAlign w:val="superscript"/>
        </w:rPr>
        <w:t>2</w:t>
      </w:r>
      <w:r w:rsidR="00623712" w:rsidRPr="00935A7A">
        <w:rPr>
          <w:rFonts w:ascii="Tahoma" w:hAnsi="Tahoma" w:cs="Tahoma"/>
          <w:noProof/>
          <w:sz w:val="24"/>
          <w:szCs w:val="24"/>
        </w:rPr>
        <w:t>Acute Frailty and Care of the Older Person, Cwm Taf Morgannwg University Health</w:t>
      </w:r>
      <w:r w:rsidR="00623712">
        <w:rPr>
          <w:rFonts w:ascii="Tahoma" w:hAnsi="Tahoma" w:cs="Tahoma"/>
          <w:noProof/>
          <w:sz w:val="28"/>
          <w:szCs w:val="28"/>
        </w:rPr>
        <w:t xml:space="preserve"> </w:t>
      </w:r>
      <w:r w:rsidR="00623712" w:rsidRPr="00935A7A">
        <w:rPr>
          <w:rFonts w:ascii="Tahoma" w:hAnsi="Tahoma" w:cs="Tahoma"/>
          <w:noProof/>
          <w:sz w:val="24"/>
          <w:szCs w:val="24"/>
        </w:rPr>
        <w:t>Board</w:t>
      </w:r>
    </w:p>
    <w:p w14:paraId="5C2DF48A" w14:textId="77777777" w:rsidR="001D73FB" w:rsidRPr="00101A21" w:rsidRDefault="001D73FB" w:rsidP="001D73FB">
      <w:pPr>
        <w:shd w:val="clear" w:color="auto" w:fill="32598A"/>
        <w:rPr>
          <w:color w:val="0066CC"/>
        </w:rPr>
      </w:pPr>
    </w:p>
    <w:p w14:paraId="538FA88B" w14:textId="5F3F08D0" w:rsidR="00400A84" w:rsidRDefault="001D73FB" w:rsidP="00935A7A">
      <w:pPr>
        <w:spacing w:after="0" w:line="240" w:lineRule="auto"/>
        <w:jc w:val="both"/>
        <w:rPr>
          <w:rFonts w:ascii="Tahoma" w:hAnsi="Tahoma" w:cs="Tahoma"/>
          <w:b/>
          <w:bCs/>
          <w:sz w:val="24"/>
          <w:szCs w:val="24"/>
        </w:rPr>
      </w:pPr>
      <w:r>
        <w:rPr>
          <w:rFonts w:ascii="Tahoma" w:hAnsi="Tahoma" w:cs="Tahoma"/>
          <w:b/>
          <w:bCs/>
          <w:sz w:val="24"/>
          <w:szCs w:val="24"/>
        </w:rPr>
        <w:t>Introduction:</w:t>
      </w:r>
    </w:p>
    <w:p w14:paraId="1041F067" w14:textId="4CB054EB" w:rsidR="00623712" w:rsidRDefault="00623712" w:rsidP="00935A7A">
      <w:pPr>
        <w:spacing w:line="240" w:lineRule="auto"/>
        <w:jc w:val="both"/>
        <w:rPr>
          <w:rFonts w:ascii="Tahoma" w:hAnsi="Tahoma" w:cs="Tahoma"/>
          <w:b/>
          <w:bCs/>
          <w:sz w:val="24"/>
          <w:szCs w:val="24"/>
        </w:rPr>
      </w:pPr>
      <w:r>
        <w:rPr>
          <w:rFonts w:ascii="Tahoma" w:hAnsi="Tahoma" w:cs="Tahoma"/>
          <w:noProof/>
          <w:sz w:val="24"/>
          <w:szCs w:val="24"/>
        </w:rPr>
        <w:t>Current procedure across wales, is that patients are monitored using the National Early Warning Scores (NEWS). However, when a patient is end of life, the term 'Not for Obs', is often used and this leaves many patients without regular and essential symptom monitoring. Where a patient is felt to be in the last hours, to 3 days of life, we have the nationally recognised care plan, The Care Decisions Tool, however our research shows that many patients take longer than 3 days to die in our hospitals, and even patients not in the dying phases of life, can have unrecorded symptom burdens.</w:t>
      </w:r>
    </w:p>
    <w:p w14:paraId="7348F163" w14:textId="70435D41" w:rsidR="001D73FB" w:rsidRDefault="001D73FB" w:rsidP="00935A7A">
      <w:pPr>
        <w:spacing w:after="0" w:line="240" w:lineRule="auto"/>
        <w:jc w:val="both"/>
        <w:rPr>
          <w:rFonts w:ascii="Tahoma" w:hAnsi="Tahoma" w:cs="Tahoma"/>
          <w:b/>
          <w:bCs/>
          <w:sz w:val="24"/>
          <w:szCs w:val="24"/>
        </w:rPr>
      </w:pPr>
      <w:r>
        <w:rPr>
          <w:rFonts w:ascii="Tahoma" w:hAnsi="Tahoma" w:cs="Tahoma"/>
          <w:b/>
          <w:bCs/>
          <w:sz w:val="24"/>
          <w:szCs w:val="24"/>
        </w:rPr>
        <w:t>Aim:</w:t>
      </w:r>
    </w:p>
    <w:p w14:paraId="635D86D0" w14:textId="2BFD98AD" w:rsidR="00623712" w:rsidRDefault="00623712" w:rsidP="00935A7A">
      <w:pPr>
        <w:spacing w:after="0" w:line="240" w:lineRule="auto"/>
        <w:jc w:val="both"/>
        <w:rPr>
          <w:rFonts w:ascii="Tahoma" w:hAnsi="Tahoma" w:cs="Tahoma"/>
          <w:noProof/>
          <w:sz w:val="24"/>
          <w:szCs w:val="24"/>
        </w:rPr>
      </w:pPr>
      <w:r>
        <w:rPr>
          <w:rFonts w:ascii="Tahoma" w:hAnsi="Tahoma" w:cs="Tahoma"/>
          <w:noProof/>
          <w:sz w:val="24"/>
          <w:szCs w:val="24"/>
        </w:rPr>
        <w:t>The aim is to provide protection to patients by reduc</w:t>
      </w:r>
      <w:r w:rsidR="00A769DB">
        <w:rPr>
          <w:rFonts w:ascii="Tahoma" w:hAnsi="Tahoma" w:cs="Tahoma"/>
          <w:noProof/>
          <w:sz w:val="24"/>
          <w:szCs w:val="24"/>
        </w:rPr>
        <w:t>ing</w:t>
      </w:r>
      <w:r>
        <w:rPr>
          <w:rFonts w:ascii="Tahoma" w:hAnsi="Tahoma" w:cs="Tahoma"/>
          <w:noProof/>
          <w:sz w:val="24"/>
          <w:szCs w:val="24"/>
        </w:rPr>
        <w:t xml:space="preserve"> harm and suffering by properly recording symptom burdens to allow HCPs to recognise clinical change and ensure effective treatment. We have introduced a new SEWs chart that can be used alongside NEWS or as a standalone process for patients not in the last hours to days of life. This ensures that the 'There is no such thing as not for obs' campaign has auditable outcomes which protect patients, staff and the HB. This provies evidence of symptoms burde</w:t>
      </w:r>
      <w:r w:rsidR="00A769DB">
        <w:rPr>
          <w:rFonts w:ascii="Tahoma" w:hAnsi="Tahoma" w:cs="Tahoma"/>
          <w:noProof/>
          <w:sz w:val="24"/>
          <w:szCs w:val="24"/>
        </w:rPr>
        <w:t>n</w:t>
      </w:r>
      <w:r>
        <w:rPr>
          <w:rFonts w:ascii="Tahoma" w:hAnsi="Tahoma" w:cs="Tahoma"/>
          <w:noProof/>
          <w:sz w:val="24"/>
          <w:szCs w:val="24"/>
        </w:rPr>
        <w:t xml:space="preserve"> to support omission or administation of as required medication, with supporting evidence should the patient care be questioned.</w:t>
      </w:r>
    </w:p>
    <w:p w14:paraId="30DD8F93" w14:textId="77777777" w:rsidR="00623712" w:rsidRPr="00646B9B" w:rsidRDefault="00623712" w:rsidP="00935A7A">
      <w:pPr>
        <w:spacing w:after="0" w:line="240" w:lineRule="auto"/>
        <w:jc w:val="both"/>
        <w:rPr>
          <w:rFonts w:ascii="Tahoma" w:hAnsi="Tahoma" w:cs="Tahoma"/>
          <w:b/>
          <w:bCs/>
          <w:sz w:val="16"/>
          <w:szCs w:val="16"/>
        </w:rPr>
      </w:pPr>
    </w:p>
    <w:p w14:paraId="4F0C03D1" w14:textId="104C5553" w:rsidR="001D73FB" w:rsidRDefault="001D73FB" w:rsidP="00935A7A">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39CB7BB5" w:rsidR="00312351" w:rsidRDefault="00623712" w:rsidP="00935A7A">
      <w:pPr>
        <w:spacing w:after="0" w:line="240" w:lineRule="auto"/>
        <w:jc w:val="both"/>
        <w:rPr>
          <w:rFonts w:ascii="Tahoma" w:hAnsi="Tahoma" w:cs="Tahoma"/>
          <w:noProof/>
          <w:sz w:val="24"/>
          <w:szCs w:val="24"/>
        </w:rPr>
      </w:pPr>
      <w:r>
        <w:rPr>
          <w:rFonts w:ascii="Tahoma" w:hAnsi="Tahoma" w:cs="Tahoma"/>
          <w:noProof/>
          <w:sz w:val="24"/>
          <w:szCs w:val="24"/>
        </w:rPr>
        <w:t>Retrospective case note evaluation of inpatient deaths across 6 month has taken place, with key questions around end of life priorities and symtom management. The preintervention study included 51 patients (12 excluded). Post intervention after rollout of the SEWs charts was a further 3 months retrospective evaluation and included 42 patients (6 excluded).</w:t>
      </w:r>
    </w:p>
    <w:p w14:paraId="4E5592CA" w14:textId="77777777" w:rsidR="00623712" w:rsidRPr="00646B9B" w:rsidRDefault="00623712" w:rsidP="00935A7A">
      <w:pPr>
        <w:spacing w:after="0" w:line="240" w:lineRule="auto"/>
        <w:jc w:val="both"/>
        <w:rPr>
          <w:rFonts w:ascii="Tahoma" w:hAnsi="Tahoma" w:cs="Tahoma"/>
          <w:sz w:val="16"/>
          <w:szCs w:val="16"/>
        </w:rPr>
      </w:pPr>
    </w:p>
    <w:p w14:paraId="335C0979" w14:textId="21434A7E" w:rsidR="001D73FB" w:rsidRDefault="001D73FB" w:rsidP="00935A7A">
      <w:pPr>
        <w:spacing w:after="0" w:line="240" w:lineRule="auto"/>
        <w:jc w:val="both"/>
        <w:rPr>
          <w:rFonts w:ascii="Tahoma" w:hAnsi="Tahoma" w:cs="Tahoma"/>
          <w:b/>
          <w:bCs/>
          <w:sz w:val="24"/>
          <w:szCs w:val="24"/>
        </w:rPr>
      </w:pPr>
      <w:r>
        <w:rPr>
          <w:rFonts w:ascii="Tahoma" w:hAnsi="Tahoma" w:cs="Tahoma"/>
          <w:b/>
          <w:bCs/>
          <w:sz w:val="24"/>
          <w:szCs w:val="24"/>
        </w:rPr>
        <w:t>Results:</w:t>
      </w:r>
    </w:p>
    <w:p w14:paraId="27D3FC09" w14:textId="60C681D5" w:rsidR="00623712" w:rsidRDefault="00623712" w:rsidP="00935A7A">
      <w:pPr>
        <w:spacing w:line="240" w:lineRule="auto"/>
        <w:jc w:val="both"/>
        <w:rPr>
          <w:rFonts w:ascii="Tahoma" w:hAnsi="Tahoma" w:cs="Tahoma"/>
          <w:sz w:val="24"/>
          <w:szCs w:val="24"/>
        </w:rPr>
      </w:pPr>
      <w:r>
        <w:rPr>
          <w:rFonts w:ascii="Tahoma" w:hAnsi="Tahoma" w:cs="Tahoma"/>
          <w:sz w:val="24"/>
          <w:szCs w:val="24"/>
        </w:rPr>
        <w:t>Quantitative data - Record keeping compliance in the preintervention study was 5.3%, increasing to 88% in the post intervention study. Administration and omission of as required medication was compatible in both studies, but the preintervention study showed evidence of the REASON for this.</w:t>
      </w:r>
    </w:p>
    <w:p w14:paraId="2D8D7BD2" w14:textId="56A86969" w:rsidR="00623712" w:rsidRDefault="00623712" w:rsidP="00935A7A">
      <w:pPr>
        <w:spacing w:after="0" w:line="240" w:lineRule="auto"/>
        <w:jc w:val="both"/>
        <w:rPr>
          <w:rFonts w:ascii="Tahoma" w:hAnsi="Tahoma" w:cs="Tahoma"/>
          <w:sz w:val="24"/>
          <w:szCs w:val="24"/>
        </w:rPr>
      </w:pPr>
      <w:r>
        <w:rPr>
          <w:rFonts w:ascii="Tahoma" w:hAnsi="Tahoma" w:cs="Tahoma"/>
          <w:sz w:val="24"/>
          <w:szCs w:val="24"/>
        </w:rPr>
        <w:t>Qualitative - Initial preintervention soft rollout took place and staff we asked for their feedback. Post intervention feedback gained from nursing, HCSW and medical staff was overall hugely positive.</w:t>
      </w:r>
    </w:p>
    <w:p w14:paraId="15E0C973" w14:textId="77777777" w:rsidR="00623712" w:rsidRPr="00646B9B" w:rsidRDefault="00623712" w:rsidP="00935A7A">
      <w:pPr>
        <w:spacing w:after="0" w:line="240" w:lineRule="auto"/>
        <w:jc w:val="both"/>
        <w:rPr>
          <w:rFonts w:ascii="Tahoma" w:hAnsi="Tahoma" w:cs="Tahoma"/>
          <w:b/>
          <w:bCs/>
          <w:sz w:val="16"/>
          <w:szCs w:val="16"/>
        </w:rPr>
      </w:pPr>
    </w:p>
    <w:p w14:paraId="79D016C6" w14:textId="0113EA1F" w:rsidR="001D73FB" w:rsidRDefault="001D73FB" w:rsidP="00935A7A">
      <w:pPr>
        <w:spacing w:after="0" w:line="240" w:lineRule="auto"/>
        <w:jc w:val="both"/>
        <w:rPr>
          <w:rFonts w:ascii="Tahoma" w:hAnsi="Tahoma" w:cs="Tahoma"/>
          <w:b/>
          <w:bCs/>
          <w:sz w:val="24"/>
          <w:szCs w:val="24"/>
        </w:rPr>
      </w:pPr>
      <w:r>
        <w:rPr>
          <w:rFonts w:ascii="Tahoma" w:hAnsi="Tahoma" w:cs="Tahoma"/>
          <w:b/>
          <w:bCs/>
          <w:sz w:val="24"/>
          <w:szCs w:val="24"/>
        </w:rPr>
        <w:t>Conclusion:</w:t>
      </w:r>
    </w:p>
    <w:p w14:paraId="7E6D3DA1" w14:textId="77777777" w:rsidR="00623712" w:rsidRDefault="00623712" w:rsidP="00935A7A">
      <w:pPr>
        <w:spacing w:after="0" w:line="240" w:lineRule="auto"/>
        <w:jc w:val="both"/>
        <w:rPr>
          <w:rFonts w:ascii="Tahoma" w:hAnsi="Tahoma" w:cs="Tahoma"/>
          <w:noProof/>
          <w:sz w:val="24"/>
          <w:szCs w:val="24"/>
        </w:rPr>
      </w:pPr>
      <w:r>
        <w:rPr>
          <w:rFonts w:ascii="Tahoma" w:hAnsi="Tahoma" w:cs="Tahoma"/>
          <w:noProof/>
          <w:sz w:val="24"/>
          <w:szCs w:val="24"/>
        </w:rPr>
        <w:t xml:space="preserve">The risk of unrecognised challenging symptoms has a huge cost to the patient. Whether its end </w:t>
      </w:r>
    </w:p>
    <w:p w14:paraId="543296CE" w14:textId="77777777" w:rsidR="00935A7A" w:rsidRDefault="00623712" w:rsidP="00935A7A">
      <w:pPr>
        <w:spacing w:after="0" w:line="240" w:lineRule="auto"/>
        <w:jc w:val="both"/>
        <w:rPr>
          <w:rFonts w:ascii="Tahoma" w:hAnsi="Tahoma" w:cs="Tahoma"/>
          <w:noProof/>
          <w:sz w:val="24"/>
          <w:szCs w:val="24"/>
        </w:rPr>
      </w:pPr>
      <w:r>
        <w:rPr>
          <w:rFonts w:ascii="Tahoma" w:hAnsi="Tahoma" w:cs="Tahoma"/>
          <w:noProof/>
          <w:sz w:val="24"/>
          <w:szCs w:val="24"/>
        </w:rPr>
        <w:t xml:space="preserve">of life, or chronic disease management, we only get one opportunity to provide excellent care to patients. Where there is a process that lacks record keeping and reassessment of presentations, </w:t>
      </w:r>
    </w:p>
    <w:p w14:paraId="74094515" w14:textId="071BE526" w:rsidR="00623712" w:rsidRDefault="00623712" w:rsidP="00935A7A">
      <w:pPr>
        <w:spacing w:after="0" w:line="240" w:lineRule="auto"/>
        <w:jc w:val="both"/>
        <w:rPr>
          <w:rFonts w:ascii="Tahoma" w:hAnsi="Tahoma" w:cs="Tahoma"/>
          <w:b/>
          <w:bCs/>
          <w:sz w:val="24"/>
          <w:szCs w:val="24"/>
        </w:rPr>
      </w:pPr>
      <w:r>
        <w:rPr>
          <w:rFonts w:ascii="Tahoma" w:hAnsi="Tahoma" w:cs="Tahoma"/>
          <w:noProof/>
          <w:sz w:val="24"/>
          <w:szCs w:val="24"/>
        </w:rPr>
        <w:lastRenderedPageBreak/>
        <w:t>there is a risk of harm to patients. The SEWs charts give evidence of the care provided to patients, and promotes this needed reassessment to ensure efficiency of treatment. This evidence can too protect staff from accusations and the HB from litigation.</w:t>
      </w:r>
    </w:p>
    <w:sectPr w:rsidR="00623712"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F7F5F"/>
    <w:rsid w:val="00312351"/>
    <w:rsid w:val="003378B3"/>
    <w:rsid w:val="00400A84"/>
    <w:rsid w:val="00623712"/>
    <w:rsid w:val="00646B9B"/>
    <w:rsid w:val="0073698D"/>
    <w:rsid w:val="0084790E"/>
    <w:rsid w:val="00935A7A"/>
    <w:rsid w:val="00957516"/>
    <w:rsid w:val="00A70F30"/>
    <w:rsid w:val="00A769DB"/>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445</Words>
  <Characters>2541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2024-11-05T12:37:00Z</dcterms:created>
  <dcterms:modified xsi:type="dcterms:W3CDTF">2024-11-22T09:24:00Z</dcterms:modified>
</cp:coreProperties>
</file>