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710F1EA5" w:rsidR="003378B3" w:rsidRDefault="003378B3" w:rsidP="00C01CC7">
      <w:pPr>
        <w:spacing w:after="0" w:line="240" w:lineRule="auto"/>
        <w:rPr>
          <w:rFonts w:ascii="Tahoma" w:hAnsi="Tahoma" w:cs="Tahoma"/>
          <w:b/>
          <w:bCs/>
          <w:noProof/>
          <w:color w:val="32598A"/>
          <w:sz w:val="28"/>
          <w:szCs w:val="28"/>
        </w:rPr>
      </w:pPr>
      <w:r>
        <w:rPr>
          <w:rFonts w:ascii="Tahoma" w:hAnsi="Tahoma" w:cs="Tahoma"/>
          <w:b/>
          <w:bCs/>
          <w:noProof/>
          <w:color w:val="32598A"/>
          <w:sz w:val="28"/>
          <w:szCs w:val="28"/>
        </w:rPr>
        <w:t>POSTER PRESENTATION :</w:t>
      </w:r>
      <w:r w:rsidR="00776238">
        <w:rPr>
          <w:rFonts w:ascii="Tahoma" w:hAnsi="Tahoma" w:cs="Tahoma"/>
          <w:b/>
          <w:bCs/>
          <w:noProof/>
          <w:color w:val="32598A"/>
          <w:sz w:val="28"/>
          <w:szCs w:val="28"/>
        </w:rPr>
        <w:t xml:space="preserve"> 13</w:t>
      </w:r>
    </w:p>
    <w:p w14:paraId="76DDE5C8" w14:textId="019BE8A4" w:rsidR="00E23E57" w:rsidRPr="006F6DCB" w:rsidRDefault="00E23E57" w:rsidP="00C01CC7">
      <w:pPr>
        <w:spacing w:after="0" w:line="240" w:lineRule="auto"/>
        <w:rPr>
          <w:rFonts w:ascii="Tahoma" w:hAnsi="Tahoma" w:cs="Tahoma"/>
          <w:sz w:val="24"/>
          <w:szCs w:val="24"/>
        </w:rPr>
      </w:pPr>
      <w:r w:rsidRPr="006F6DCB">
        <w:rPr>
          <w:rFonts w:ascii="Tahoma" w:hAnsi="Tahoma" w:cs="Tahoma"/>
          <w:sz w:val="24"/>
          <w:szCs w:val="24"/>
        </w:rPr>
        <w:t xml:space="preserve">Comparative Study </w:t>
      </w:r>
      <w:r w:rsidR="00776238">
        <w:rPr>
          <w:rFonts w:ascii="Tahoma" w:hAnsi="Tahoma" w:cs="Tahoma"/>
          <w:sz w:val="24"/>
          <w:szCs w:val="24"/>
        </w:rPr>
        <w:t>o</w:t>
      </w:r>
      <w:r w:rsidRPr="006F6DCB">
        <w:rPr>
          <w:rFonts w:ascii="Tahoma" w:hAnsi="Tahoma" w:cs="Tahoma"/>
          <w:sz w:val="24"/>
          <w:szCs w:val="24"/>
        </w:rPr>
        <w:t xml:space="preserve">f Two Unloading Braces </w:t>
      </w:r>
      <w:r w:rsidR="00776238">
        <w:rPr>
          <w:rFonts w:ascii="Tahoma" w:hAnsi="Tahoma" w:cs="Tahoma"/>
          <w:sz w:val="24"/>
          <w:szCs w:val="24"/>
        </w:rPr>
        <w:t>f</w:t>
      </w:r>
      <w:r w:rsidRPr="006F6DCB">
        <w:rPr>
          <w:rFonts w:ascii="Tahoma" w:hAnsi="Tahoma" w:cs="Tahoma"/>
          <w:sz w:val="24"/>
          <w:szCs w:val="24"/>
        </w:rPr>
        <w:t>or Unicompartmental Knee Osteoarthritis: Are They Different?</w:t>
      </w:r>
    </w:p>
    <w:p w14:paraId="17A9BA96" w14:textId="77777777" w:rsidR="00E23E57" w:rsidRPr="006F6DCB" w:rsidRDefault="00E23E57" w:rsidP="00C01CC7">
      <w:pPr>
        <w:spacing w:after="0" w:line="240" w:lineRule="auto"/>
        <w:rPr>
          <w:rFonts w:ascii="Tahoma" w:hAnsi="Tahoma" w:cs="Tahoma"/>
          <w:b/>
          <w:bCs/>
          <w:noProof/>
          <w:color w:val="32598A"/>
          <w:sz w:val="16"/>
          <w:szCs w:val="16"/>
        </w:rPr>
      </w:pPr>
    </w:p>
    <w:p w14:paraId="5CFA3287" w14:textId="6DD25BC2" w:rsidR="003378B3" w:rsidRPr="006F6DCB" w:rsidRDefault="003378B3" w:rsidP="00C01CC7">
      <w:pPr>
        <w:spacing w:line="240" w:lineRule="auto"/>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E23E57" w:rsidRPr="006F6DCB">
        <w:rPr>
          <w:rFonts w:ascii="Tahoma" w:hAnsi="Tahoma" w:cs="Tahoma"/>
          <w:sz w:val="24"/>
          <w:szCs w:val="24"/>
        </w:rPr>
        <w:t>Kainth, A.K., Chandratreya, A. P.</w:t>
      </w:r>
    </w:p>
    <w:p w14:paraId="0EF06F1D" w14:textId="712A3D8E" w:rsidR="0073698D" w:rsidRPr="00E23E57" w:rsidRDefault="0073698D" w:rsidP="00C01CC7">
      <w:pPr>
        <w:spacing w:line="240" w:lineRule="auto"/>
        <w:rPr>
          <w:rFonts w:ascii="Tahoma" w:hAnsi="Tahoma" w:cs="Tahoma"/>
          <w:b/>
          <w:bCs/>
          <w:noProof/>
          <w:color w:val="32598A"/>
          <w:sz w:val="28"/>
          <w:szCs w:val="28"/>
        </w:rPr>
      </w:pPr>
      <w:r>
        <w:rPr>
          <w:rFonts w:ascii="Tahoma" w:hAnsi="Tahoma" w:cs="Tahoma"/>
          <w:b/>
          <w:bCs/>
          <w:noProof/>
          <w:color w:val="32598A"/>
          <w:sz w:val="28"/>
          <w:szCs w:val="28"/>
        </w:rPr>
        <w:t>Department:</w:t>
      </w:r>
      <w:r w:rsidR="00E23E57" w:rsidRPr="00E23E57">
        <w:t xml:space="preserve"> </w:t>
      </w:r>
      <w:r w:rsidR="00E23E57" w:rsidRPr="006F6DCB">
        <w:rPr>
          <w:rFonts w:ascii="Tahoma" w:hAnsi="Tahoma" w:cs="Tahoma"/>
          <w:sz w:val="24"/>
          <w:szCs w:val="24"/>
        </w:rPr>
        <w:t>Trauma and Orthopaedics, Cwm Taf University Health Board</w:t>
      </w:r>
    </w:p>
    <w:p w14:paraId="5C2DF48A" w14:textId="77777777" w:rsidR="001D73FB" w:rsidRPr="00101A21" w:rsidRDefault="001D73FB" w:rsidP="001D73FB">
      <w:pPr>
        <w:shd w:val="clear" w:color="auto" w:fill="32598A"/>
        <w:rPr>
          <w:color w:val="0066CC"/>
        </w:rPr>
      </w:pPr>
    </w:p>
    <w:p w14:paraId="538FA88B" w14:textId="51D9D97D" w:rsidR="00400A84" w:rsidRDefault="001D73FB" w:rsidP="006F6DCB">
      <w:pPr>
        <w:spacing w:after="0"/>
        <w:jc w:val="both"/>
        <w:rPr>
          <w:rFonts w:ascii="Tahoma" w:hAnsi="Tahoma" w:cs="Tahoma"/>
          <w:b/>
          <w:bCs/>
          <w:sz w:val="24"/>
          <w:szCs w:val="24"/>
        </w:rPr>
      </w:pPr>
      <w:r>
        <w:rPr>
          <w:rFonts w:ascii="Tahoma" w:hAnsi="Tahoma" w:cs="Tahoma"/>
          <w:b/>
          <w:bCs/>
          <w:sz w:val="24"/>
          <w:szCs w:val="24"/>
        </w:rPr>
        <w:t>Introduction:</w:t>
      </w:r>
    </w:p>
    <w:p w14:paraId="2D796694" w14:textId="0EAF8B6D" w:rsidR="00E23E57" w:rsidRPr="00E23E57" w:rsidRDefault="00E23E57" w:rsidP="00E23E57">
      <w:pPr>
        <w:jc w:val="both"/>
        <w:rPr>
          <w:rFonts w:ascii="Tahoma" w:hAnsi="Tahoma" w:cs="Tahoma"/>
          <w:b/>
          <w:bCs/>
          <w:sz w:val="24"/>
          <w:szCs w:val="24"/>
        </w:rPr>
      </w:pPr>
      <w:r w:rsidRPr="00E23E57">
        <w:rPr>
          <w:rFonts w:ascii="Tahoma" w:hAnsi="Tahoma" w:cs="Tahoma"/>
          <w:sz w:val="24"/>
          <w:szCs w:val="24"/>
        </w:rPr>
        <w:t>Knee osteoarthritis ranks among the top contributors to global disability. Research has indicated that unloading knee braces can offer effective short-term pain relief for certain individuals diagnosed with Unicompartmental osteoarthritis (UOA).The primary objective of these assistive devices is to diminish pain, enhance physical function, and potentially decelerate the progression of the disease.</w:t>
      </w:r>
    </w:p>
    <w:p w14:paraId="7348F163" w14:textId="35486423" w:rsidR="001D73FB" w:rsidRDefault="001D73FB" w:rsidP="00E23E57">
      <w:pPr>
        <w:spacing w:after="0"/>
        <w:jc w:val="both"/>
        <w:rPr>
          <w:rFonts w:ascii="Tahoma" w:hAnsi="Tahoma" w:cs="Tahoma"/>
          <w:b/>
          <w:bCs/>
          <w:sz w:val="24"/>
          <w:szCs w:val="24"/>
        </w:rPr>
      </w:pPr>
      <w:r>
        <w:rPr>
          <w:rFonts w:ascii="Tahoma" w:hAnsi="Tahoma" w:cs="Tahoma"/>
          <w:b/>
          <w:bCs/>
          <w:sz w:val="24"/>
          <w:szCs w:val="24"/>
        </w:rPr>
        <w:t>Aim:</w:t>
      </w:r>
    </w:p>
    <w:p w14:paraId="353652B4" w14:textId="0428974C" w:rsidR="00E23E57" w:rsidRDefault="00E23E57" w:rsidP="00E23E57">
      <w:pPr>
        <w:spacing w:after="0"/>
        <w:jc w:val="both"/>
        <w:rPr>
          <w:rFonts w:ascii="Tahoma" w:hAnsi="Tahoma" w:cs="Tahoma"/>
          <w:sz w:val="24"/>
          <w:szCs w:val="24"/>
        </w:rPr>
      </w:pPr>
      <w:r w:rsidRPr="00E23E57">
        <w:rPr>
          <w:rFonts w:ascii="Tahoma" w:hAnsi="Tahoma" w:cs="Tahoma"/>
          <w:sz w:val="24"/>
          <w:szCs w:val="24"/>
        </w:rPr>
        <w:t>The objective of this pragmatic study was to compare 2 types of unloading braces from a patient perspective point of view</w:t>
      </w:r>
    </w:p>
    <w:p w14:paraId="2440F755" w14:textId="77777777" w:rsidR="00E23E57" w:rsidRPr="006F6DCB" w:rsidRDefault="00E23E57" w:rsidP="00E23E57">
      <w:pPr>
        <w:spacing w:after="0"/>
        <w:jc w:val="both"/>
        <w:rPr>
          <w:rFonts w:ascii="Tahoma" w:hAnsi="Tahoma" w:cs="Tahoma"/>
          <w:b/>
          <w:bCs/>
          <w:sz w:val="16"/>
          <w:szCs w:val="16"/>
        </w:rPr>
      </w:pPr>
    </w:p>
    <w:p w14:paraId="4F0C03D1" w14:textId="0EC013F0" w:rsidR="001D73FB" w:rsidRDefault="001D73FB" w:rsidP="00E23E57">
      <w:pPr>
        <w:spacing w:after="0"/>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780DA6D" w14:textId="77777777" w:rsidR="00E23E57" w:rsidRPr="00E23E57" w:rsidRDefault="00E23E57" w:rsidP="00E23E57">
      <w:pPr>
        <w:spacing w:after="0"/>
        <w:jc w:val="both"/>
        <w:rPr>
          <w:rFonts w:ascii="Tahoma" w:hAnsi="Tahoma" w:cs="Tahoma"/>
          <w:b/>
          <w:bCs/>
          <w:sz w:val="24"/>
          <w:szCs w:val="24"/>
        </w:rPr>
      </w:pPr>
      <w:r w:rsidRPr="00E23E57">
        <w:rPr>
          <w:rFonts w:ascii="Tahoma" w:hAnsi="Tahoma" w:cs="Tahoma"/>
          <w:sz w:val="24"/>
          <w:szCs w:val="24"/>
        </w:rPr>
        <w:t>We enrolled a total of 28 patients aged between 45 and 70, all of whom had radiographically confirmed Unicompartmental knee arthritis. There were 10 female and 18 male patients. 78% had medial knee OA. The braces compared were Ossur Unloader One and Thuasne UniReliever. Baseline Oxford Knee scores and Lysholm scores were collected. Patients were fitted with one of the braces by a nurse experienced in brace application. It was not possible to blind the patients to the type of the brace. The patients wore each brace for 1 hour. Patients were asked about feedback about the brace to include comfort, appearance, pain relief and ease of application</w:t>
      </w:r>
    </w:p>
    <w:p w14:paraId="79C9A30B" w14:textId="77777777" w:rsidR="00E23E57" w:rsidRPr="006F6DCB" w:rsidRDefault="00E23E57" w:rsidP="00E23E57">
      <w:pPr>
        <w:spacing w:after="0"/>
        <w:jc w:val="both"/>
        <w:rPr>
          <w:rFonts w:ascii="Tahoma" w:hAnsi="Tahoma" w:cs="Tahoma"/>
          <w:b/>
          <w:bCs/>
          <w:sz w:val="16"/>
          <w:szCs w:val="16"/>
        </w:rPr>
      </w:pPr>
    </w:p>
    <w:p w14:paraId="335C0979" w14:textId="050FF01D" w:rsidR="001D73FB" w:rsidRDefault="001D73FB" w:rsidP="00E23E57">
      <w:pPr>
        <w:spacing w:after="0"/>
        <w:jc w:val="both"/>
        <w:rPr>
          <w:rFonts w:ascii="Tahoma" w:hAnsi="Tahoma" w:cs="Tahoma"/>
          <w:b/>
          <w:bCs/>
          <w:sz w:val="24"/>
          <w:szCs w:val="24"/>
        </w:rPr>
      </w:pPr>
      <w:r>
        <w:rPr>
          <w:rFonts w:ascii="Tahoma" w:hAnsi="Tahoma" w:cs="Tahoma"/>
          <w:b/>
          <w:bCs/>
          <w:sz w:val="24"/>
          <w:szCs w:val="24"/>
        </w:rPr>
        <w:t>Results:</w:t>
      </w:r>
    </w:p>
    <w:p w14:paraId="46D983D4" w14:textId="77777777" w:rsidR="00E23E57" w:rsidRPr="00E23E57" w:rsidRDefault="00E23E57" w:rsidP="00E23E57">
      <w:pPr>
        <w:spacing w:after="0"/>
        <w:jc w:val="both"/>
        <w:rPr>
          <w:rFonts w:ascii="Tahoma" w:hAnsi="Tahoma" w:cs="Tahoma"/>
          <w:sz w:val="24"/>
          <w:szCs w:val="24"/>
        </w:rPr>
      </w:pPr>
      <w:r w:rsidRPr="00E23E57">
        <w:rPr>
          <w:rFonts w:ascii="Tahoma" w:hAnsi="Tahoma" w:cs="Tahoma"/>
          <w:sz w:val="24"/>
          <w:szCs w:val="24"/>
        </w:rPr>
        <w:t>86% of patients chose the Thuasne UniReliever brace as compared to the Ossur Unloader brace. Both braces gave a similar type of pain relief which was immediate in 45% of patients. The mean pre-brace Oxford Knee Score increased from 15.22 to a mean post-brace score of 21.89. Similarly, the mean pre-brace Lysholm Score rose from 28.67 to a mean post-brace score of 55.89.</w:t>
      </w:r>
    </w:p>
    <w:p w14:paraId="4F7B4381" w14:textId="77777777" w:rsidR="00E23E57" w:rsidRPr="006F6DCB" w:rsidRDefault="00E23E57" w:rsidP="00E23E57">
      <w:pPr>
        <w:spacing w:after="0"/>
        <w:jc w:val="both"/>
        <w:rPr>
          <w:rFonts w:ascii="Tahoma" w:hAnsi="Tahoma" w:cs="Tahoma"/>
          <w:b/>
          <w:bCs/>
          <w:sz w:val="16"/>
          <w:szCs w:val="16"/>
        </w:rPr>
      </w:pPr>
    </w:p>
    <w:p w14:paraId="79D016C6" w14:textId="3B5431B1" w:rsidR="001D73FB" w:rsidRDefault="001D73FB" w:rsidP="00E23E57">
      <w:pPr>
        <w:spacing w:after="0"/>
        <w:jc w:val="both"/>
        <w:rPr>
          <w:rFonts w:ascii="Tahoma" w:hAnsi="Tahoma" w:cs="Tahoma"/>
          <w:b/>
          <w:bCs/>
          <w:sz w:val="24"/>
          <w:szCs w:val="24"/>
        </w:rPr>
      </w:pPr>
      <w:r>
        <w:rPr>
          <w:rFonts w:ascii="Tahoma" w:hAnsi="Tahoma" w:cs="Tahoma"/>
          <w:b/>
          <w:bCs/>
          <w:sz w:val="24"/>
          <w:szCs w:val="24"/>
        </w:rPr>
        <w:t>Conclusion:</w:t>
      </w:r>
    </w:p>
    <w:p w14:paraId="28031E02" w14:textId="174E7224" w:rsidR="00E23E57" w:rsidRPr="00E23E57" w:rsidRDefault="00E23E57" w:rsidP="00E23E57">
      <w:pPr>
        <w:spacing w:after="0"/>
        <w:jc w:val="both"/>
        <w:rPr>
          <w:rFonts w:ascii="Tahoma" w:hAnsi="Tahoma" w:cs="Tahoma"/>
          <w:b/>
          <w:bCs/>
          <w:sz w:val="24"/>
          <w:szCs w:val="24"/>
        </w:rPr>
      </w:pPr>
      <w:r w:rsidRPr="00E23E57">
        <w:rPr>
          <w:rFonts w:ascii="Tahoma" w:hAnsi="Tahoma" w:cs="Tahoma"/>
          <w:sz w:val="24"/>
          <w:szCs w:val="24"/>
        </w:rPr>
        <w:t>The study's findings indicate that in comparison, although both braces provide equal pain relief, the Thuasne UniReliever brace has better patient acceptance. A further study with prolonged use of the brace will be helpful</w:t>
      </w:r>
      <w:r w:rsidR="00233041">
        <w:rPr>
          <w:rFonts w:ascii="Tahoma" w:hAnsi="Tahoma" w:cs="Tahoma"/>
          <w:sz w:val="24"/>
          <w:szCs w:val="24"/>
        </w:rPr>
        <w:t>.</w:t>
      </w:r>
    </w:p>
    <w:sectPr w:rsidR="00E23E57" w:rsidRPr="00E23E57"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33041"/>
    <w:rsid w:val="00312351"/>
    <w:rsid w:val="003378B3"/>
    <w:rsid w:val="00400A84"/>
    <w:rsid w:val="006F6DCB"/>
    <w:rsid w:val="0073698D"/>
    <w:rsid w:val="00776238"/>
    <w:rsid w:val="0084790E"/>
    <w:rsid w:val="00957516"/>
    <w:rsid w:val="00A70F30"/>
    <w:rsid w:val="00AC3303"/>
    <w:rsid w:val="00C01CC7"/>
    <w:rsid w:val="00DB03CE"/>
    <w:rsid w:val="00E0156E"/>
    <w:rsid w:val="00E065C5"/>
    <w:rsid w:val="00E23E57"/>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315</Words>
  <Characters>1799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5</cp:revision>
  <dcterms:created xsi:type="dcterms:W3CDTF">2024-11-04T17:21:00Z</dcterms:created>
  <dcterms:modified xsi:type="dcterms:W3CDTF">2024-11-22T09:23:00Z</dcterms:modified>
</cp:coreProperties>
</file>