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389734FC"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980AF3">
        <w:rPr>
          <w:rFonts w:ascii="Tahoma" w:hAnsi="Tahoma" w:cs="Tahoma"/>
          <w:b/>
          <w:bCs/>
          <w:noProof/>
          <w:color w:val="32598A"/>
          <w:sz w:val="28"/>
          <w:szCs w:val="28"/>
        </w:rPr>
        <w:t xml:space="preserve"> 11</w:t>
      </w:r>
    </w:p>
    <w:p w14:paraId="47E41509" w14:textId="09CCA54E" w:rsidR="002F169D" w:rsidRDefault="00980AF3" w:rsidP="00E0156E">
      <w:pPr>
        <w:spacing w:after="0"/>
        <w:rPr>
          <w:rFonts w:ascii="Tahoma" w:hAnsi="Tahoma" w:cs="Tahoma"/>
          <w:b/>
          <w:bCs/>
          <w:noProof/>
          <w:color w:val="32598A"/>
          <w:sz w:val="28"/>
          <w:szCs w:val="28"/>
        </w:rPr>
      </w:pPr>
      <w:sdt>
        <w:sdtPr>
          <w:rPr>
            <w:rFonts w:ascii="Tahoma" w:hAnsi="Tahoma" w:cs="Tahoma"/>
            <w:sz w:val="24"/>
            <w:szCs w:val="24"/>
          </w:rPr>
          <w:id w:val="495000437"/>
          <w:placeholder>
            <w:docPart w:val="3CE53BBEFA9E4BD286528DDBA9F64E0F"/>
          </w:placeholder>
          <w:text/>
        </w:sdtPr>
        <w:sdtEndPr/>
        <w:sdtContent>
          <w:r w:rsidR="002F169D" w:rsidRPr="007E6854">
            <w:rPr>
              <w:rFonts w:ascii="Tahoma" w:hAnsi="Tahoma" w:cs="Tahoma"/>
              <w:sz w:val="24"/>
              <w:szCs w:val="24"/>
            </w:rPr>
            <w:t xml:space="preserve">Does the Introduction of educational awareness improve fluid balance compliance </w:t>
          </w:r>
        </w:sdtContent>
      </w:sdt>
    </w:p>
    <w:p w14:paraId="5D160D73" w14:textId="77777777" w:rsidR="002F169D" w:rsidRPr="00407DA2" w:rsidRDefault="002F169D" w:rsidP="002F169D">
      <w:pPr>
        <w:spacing w:after="0"/>
        <w:rPr>
          <w:rFonts w:ascii="Tahoma" w:hAnsi="Tahoma" w:cs="Tahoma"/>
          <w:b/>
          <w:bCs/>
          <w:noProof/>
          <w:color w:val="32598A"/>
          <w:sz w:val="16"/>
          <w:szCs w:val="16"/>
        </w:rPr>
      </w:pPr>
    </w:p>
    <w:p w14:paraId="285812CE" w14:textId="33E8F516" w:rsidR="002F169D" w:rsidRDefault="003378B3" w:rsidP="002F169D">
      <w:pPr>
        <w:ind w:right="-360"/>
        <w:rPr>
          <w:rFonts w:ascii="Tahoma" w:hAnsi="Tahoma" w:cs="Tahoma"/>
          <w:sz w:val="28"/>
          <w:szCs w:val="28"/>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sdt>
        <w:sdtPr>
          <w:rPr>
            <w:rFonts w:ascii="Tahoma" w:hAnsi="Tahoma" w:cs="Tahoma"/>
            <w:sz w:val="24"/>
            <w:szCs w:val="24"/>
          </w:rPr>
          <w:id w:val="-1002514772"/>
          <w:placeholder>
            <w:docPart w:val="A31A078BAB68432D855AB3C5F0DA4A20"/>
          </w:placeholder>
          <w:text/>
        </w:sdtPr>
        <w:sdtEndPr/>
        <w:sdtContent>
          <w:r w:rsidR="002F169D" w:rsidRPr="007E6854">
            <w:rPr>
              <w:rFonts w:ascii="Tahoma" w:hAnsi="Tahoma" w:cs="Tahoma"/>
              <w:sz w:val="24"/>
              <w:szCs w:val="24"/>
            </w:rPr>
            <w:t>Jones</w:t>
          </w:r>
          <w:r w:rsidR="007E6854">
            <w:rPr>
              <w:rFonts w:ascii="Tahoma" w:hAnsi="Tahoma" w:cs="Tahoma"/>
              <w:sz w:val="24"/>
              <w:szCs w:val="24"/>
            </w:rPr>
            <w:t>, V.</w:t>
          </w:r>
        </w:sdtContent>
      </w:sdt>
    </w:p>
    <w:p w14:paraId="0EF06F1D" w14:textId="198D82D1"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Pr="007E6854">
        <w:rPr>
          <w:rFonts w:ascii="Tahoma" w:hAnsi="Tahoma" w:cs="Tahoma"/>
          <w:b/>
          <w:bCs/>
          <w:noProof/>
          <w:color w:val="32598A"/>
          <w:sz w:val="24"/>
          <w:szCs w:val="24"/>
        </w:rPr>
        <w:t>:</w:t>
      </w:r>
      <w:r w:rsidR="002F169D" w:rsidRPr="007E6854">
        <w:rPr>
          <w:rFonts w:ascii="Tahoma" w:hAnsi="Tahoma" w:cs="Tahoma"/>
          <w:sz w:val="24"/>
          <w:szCs w:val="24"/>
        </w:rPr>
        <w:t xml:space="preserve"> </w:t>
      </w:r>
      <w:sdt>
        <w:sdtPr>
          <w:rPr>
            <w:rFonts w:ascii="Tahoma" w:hAnsi="Tahoma" w:cs="Tahoma"/>
            <w:sz w:val="24"/>
            <w:szCs w:val="24"/>
          </w:rPr>
          <w:id w:val="1694416682"/>
          <w:placeholder>
            <w:docPart w:val="FFEE8F1E4EE746BD98AB8238549244A8"/>
          </w:placeholder>
          <w:text/>
        </w:sdtPr>
        <w:sdtEndPr/>
        <w:sdtContent>
          <w:r w:rsidR="002F169D" w:rsidRPr="007E6854">
            <w:rPr>
              <w:rFonts w:ascii="Tahoma" w:hAnsi="Tahoma" w:cs="Tahoma"/>
              <w:sz w:val="24"/>
              <w:szCs w:val="24"/>
            </w:rPr>
            <w:t>Anaesthetics, Critical Care, Theatre and Trauma and Orthopaedics</w:t>
          </w:r>
          <w:r w:rsidR="00407DA2" w:rsidRPr="007E6854">
            <w:rPr>
              <w:rFonts w:ascii="Tahoma" w:hAnsi="Tahoma" w:cs="Tahoma"/>
              <w:sz w:val="24"/>
              <w:szCs w:val="24"/>
            </w:rPr>
            <w:t xml:space="preserve">, Cwm Taf </w:t>
          </w:r>
          <w:r w:rsidR="00E2792B">
            <w:rPr>
              <w:rFonts w:ascii="Tahoma" w:hAnsi="Tahoma" w:cs="Tahoma"/>
              <w:sz w:val="24"/>
              <w:szCs w:val="24"/>
            </w:rPr>
            <w:t xml:space="preserve">Morgannwg </w:t>
          </w:r>
          <w:r w:rsidR="00407DA2" w:rsidRPr="007E6854">
            <w:rPr>
              <w:rFonts w:ascii="Tahoma" w:hAnsi="Tahoma" w:cs="Tahoma"/>
              <w:sz w:val="24"/>
              <w:szCs w:val="24"/>
            </w:rPr>
            <w:t>University Health Board</w:t>
          </w:r>
          <w:r w:rsidR="002F169D" w:rsidRPr="007E6854">
            <w:rPr>
              <w:rFonts w:ascii="Tahoma" w:hAnsi="Tahoma" w:cs="Tahoma"/>
              <w:sz w:val="24"/>
              <w:szCs w:val="24"/>
            </w:rPr>
            <w:t xml:space="preserve">  </w:t>
          </w:r>
        </w:sdtContent>
      </w:sdt>
    </w:p>
    <w:p w14:paraId="5C2DF48A" w14:textId="77777777" w:rsidR="001D73FB" w:rsidRPr="00101A21" w:rsidRDefault="001D73FB" w:rsidP="001D73FB">
      <w:pPr>
        <w:shd w:val="clear" w:color="auto" w:fill="32598A"/>
        <w:rPr>
          <w:color w:val="0066CC"/>
        </w:rPr>
      </w:pPr>
    </w:p>
    <w:p w14:paraId="79720C32" w14:textId="77777777" w:rsidR="00407DA2" w:rsidRDefault="001D73FB" w:rsidP="00407DA2">
      <w:pPr>
        <w:spacing w:after="0"/>
        <w:rPr>
          <w:rFonts w:ascii="Tahoma" w:hAnsi="Tahoma" w:cs="Tahoma"/>
          <w:b/>
          <w:bCs/>
          <w:sz w:val="24"/>
          <w:szCs w:val="24"/>
        </w:rPr>
      </w:pPr>
      <w:r>
        <w:rPr>
          <w:rFonts w:ascii="Tahoma" w:hAnsi="Tahoma" w:cs="Tahoma"/>
          <w:b/>
          <w:bCs/>
          <w:sz w:val="24"/>
          <w:szCs w:val="24"/>
        </w:rPr>
        <w:t>Introduction:</w:t>
      </w:r>
    </w:p>
    <w:p w14:paraId="0927C8D2" w14:textId="200EF8F8" w:rsidR="00407DA2" w:rsidRPr="00407DA2" w:rsidRDefault="00407DA2" w:rsidP="00407DA2">
      <w:pPr>
        <w:jc w:val="both"/>
        <w:rPr>
          <w:rFonts w:ascii="Tahoma" w:hAnsi="Tahoma" w:cs="Tahoma"/>
          <w:b/>
          <w:bCs/>
          <w:sz w:val="24"/>
          <w:szCs w:val="24"/>
        </w:rPr>
      </w:pPr>
      <w:r w:rsidRPr="00407DA2">
        <w:rPr>
          <w:rFonts w:ascii="Tahoma" w:hAnsi="Tahoma" w:cs="Tahoma"/>
          <w:sz w:val="24"/>
          <w:szCs w:val="24"/>
        </w:rPr>
        <w:t>A recent Coroner’s inquest into the death of a patient at one of the Health Board Hospitals (May 2024) highlighted significant shortcomings in patient care. Although these shortcomings did not directly cause the patient's death, they could have impacted the patient's chance of survival. One area highlighted by the coroner was the nurses were unable to ascertain the amount of fluid given to the patient over 17 hours, and there was insufficient monitoring of the patient's urine output. Recent Health Board Outreach Team audits have shown significant variability in fluid balance charting practices and compliance, indicating a need for improvement. Inaccurate or incomplete fluid balance records can lead to poor patient outcomes, such as fluid overload or dehydration. National guidelines and benchmarks set by healthcare bodies emphasise the need for stringent fluid balance monitoring. However, these deficiencies in fluid balance documentation are not unique to the Health Board, according to Leinum et al. (2023) and Lim et al. (2021), the accuracy of fluid balance charting varied between 50-77% in the 8,848 charts reviewed.</w:t>
      </w:r>
    </w:p>
    <w:p w14:paraId="7348F163" w14:textId="274ACCA8" w:rsidR="001D73FB" w:rsidRDefault="001D73FB" w:rsidP="00407DA2">
      <w:pPr>
        <w:spacing w:after="0"/>
        <w:jc w:val="both"/>
        <w:rPr>
          <w:rFonts w:ascii="Tahoma" w:hAnsi="Tahoma" w:cs="Tahoma"/>
          <w:b/>
          <w:bCs/>
          <w:sz w:val="24"/>
          <w:szCs w:val="24"/>
        </w:rPr>
      </w:pPr>
      <w:r>
        <w:rPr>
          <w:rFonts w:ascii="Tahoma" w:hAnsi="Tahoma" w:cs="Tahoma"/>
          <w:b/>
          <w:bCs/>
          <w:sz w:val="24"/>
          <w:szCs w:val="24"/>
        </w:rPr>
        <w:t>Aim:</w:t>
      </w:r>
    </w:p>
    <w:p w14:paraId="7B9A117C" w14:textId="2D42909C" w:rsidR="00407DA2" w:rsidRDefault="00980AF3" w:rsidP="00407DA2">
      <w:pPr>
        <w:spacing w:after="0"/>
        <w:jc w:val="both"/>
        <w:rPr>
          <w:rFonts w:ascii="Tahoma" w:hAnsi="Tahoma" w:cs="Tahoma"/>
          <w:b/>
          <w:bCs/>
          <w:sz w:val="24"/>
          <w:szCs w:val="24"/>
        </w:rPr>
      </w:pPr>
      <w:sdt>
        <w:sdtPr>
          <w:rPr>
            <w:rFonts w:ascii="Tahoma" w:hAnsi="Tahoma" w:cs="Tahoma"/>
            <w:sz w:val="24"/>
            <w:szCs w:val="24"/>
          </w:rPr>
          <w:id w:val="506803389"/>
          <w:placeholder>
            <w:docPart w:val="B2D511493F1D479193D843ABC727A2E3"/>
          </w:placeholder>
          <w:text/>
        </w:sdtPr>
        <w:sdtEndPr/>
        <w:sdtContent>
          <w:r w:rsidR="00407DA2" w:rsidRPr="00407DA2">
            <w:rPr>
              <w:rFonts w:ascii="Tahoma" w:hAnsi="Tahoma" w:cs="Tahoma"/>
              <w:sz w:val="24"/>
              <w:szCs w:val="24"/>
            </w:rPr>
            <w:t>Does educational awareness increase compliance with fluid balance charting within CTM acute sites</w:t>
          </w:r>
          <w:r w:rsidR="00407DA2">
            <w:rPr>
              <w:rFonts w:ascii="Tahoma" w:hAnsi="Tahoma" w:cs="Tahoma"/>
              <w:sz w:val="24"/>
              <w:szCs w:val="24"/>
            </w:rPr>
            <w:t>.</w:t>
          </w:r>
        </w:sdtContent>
      </w:sdt>
    </w:p>
    <w:p w14:paraId="72A435D9" w14:textId="77777777" w:rsidR="00407DA2" w:rsidRPr="007E6854" w:rsidRDefault="00407DA2" w:rsidP="00407DA2">
      <w:pPr>
        <w:spacing w:after="0"/>
        <w:jc w:val="both"/>
        <w:rPr>
          <w:rFonts w:ascii="Tahoma" w:hAnsi="Tahoma" w:cs="Tahoma"/>
          <w:b/>
          <w:bCs/>
          <w:sz w:val="16"/>
          <w:szCs w:val="16"/>
        </w:rPr>
      </w:pPr>
    </w:p>
    <w:p w14:paraId="4F0C03D1" w14:textId="6DB277A0" w:rsidR="001D73FB" w:rsidRDefault="001D73FB" w:rsidP="00407DA2">
      <w:pPr>
        <w:spacing w:after="0"/>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5CF437B3" w:rsidR="00312351" w:rsidRPr="00407DA2" w:rsidRDefault="00407DA2" w:rsidP="00407DA2">
      <w:pPr>
        <w:spacing w:after="0"/>
        <w:jc w:val="both"/>
        <w:rPr>
          <w:rFonts w:ascii="Tahoma" w:hAnsi="Tahoma" w:cs="Tahoma"/>
          <w:sz w:val="24"/>
          <w:szCs w:val="24"/>
        </w:rPr>
      </w:pPr>
      <w:r w:rsidRPr="00407DA2">
        <w:rPr>
          <w:rFonts w:ascii="Tahoma" w:hAnsi="Tahoma" w:cs="Tahoma"/>
          <w:sz w:val="24"/>
          <w:szCs w:val="24"/>
        </w:rPr>
        <w:t xml:space="preserve">A standardised educational plan was developed with the use of a PowerPoint presentation and supported by educational literature in the form of ‘how to guide’ for completion. Educational sessions were delivered over a 3 week period to the acute hospital sites Prince Charles Hospital, Royal Glamorgan Hospital and Princess of Wales Hospital. The target staff group for education included both Registered and non-registered staff. Pre and Post compliance data was collected via a 10 question audit tool, results were facilitated by the Audit Management and Tracking (AMaT) system.  </w:t>
      </w:r>
    </w:p>
    <w:p w14:paraId="4E614999" w14:textId="77777777" w:rsidR="00407DA2" w:rsidRPr="007E6854" w:rsidRDefault="00407DA2" w:rsidP="00407DA2">
      <w:pPr>
        <w:spacing w:after="0"/>
        <w:jc w:val="both"/>
        <w:rPr>
          <w:rFonts w:ascii="Tahoma" w:hAnsi="Tahoma" w:cs="Tahoma"/>
          <w:b/>
          <w:bCs/>
          <w:sz w:val="16"/>
          <w:szCs w:val="16"/>
        </w:rPr>
      </w:pPr>
    </w:p>
    <w:p w14:paraId="335C0979" w14:textId="6F9E80B9" w:rsidR="001D73FB" w:rsidRDefault="001D73FB" w:rsidP="00407DA2">
      <w:pPr>
        <w:spacing w:after="0"/>
        <w:jc w:val="both"/>
        <w:rPr>
          <w:rFonts w:ascii="Tahoma" w:hAnsi="Tahoma" w:cs="Tahoma"/>
          <w:b/>
          <w:bCs/>
          <w:sz w:val="24"/>
          <w:szCs w:val="24"/>
        </w:rPr>
      </w:pPr>
      <w:r>
        <w:rPr>
          <w:rFonts w:ascii="Tahoma" w:hAnsi="Tahoma" w:cs="Tahoma"/>
          <w:b/>
          <w:bCs/>
          <w:sz w:val="24"/>
          <w:szCs w:val="24"/>
        </w:rPr>
        <w:t>Results:</w:t>
      </w:r>
    </w:p>
    <w:p w14:paraId="2EBD3CEF" w14:textId="4FFEEE3F" w:rsidR="00407DA2" w:rsidRDefault="00980AF3" w:rsidP="00407DA2">
      <w:pPr>
        <w:spacing w:after="0"/>
        <w:jc w:val="both"/>
        <w:rPr>
          <w:rFonts w:ascii="Tahoma" w:hAnsi="Tahoma" w:cs="Tahoma"/>
          <w:b/>
          <w:bCs/>
          <w:sz w:val="24"/>
          <w:szCs w:val="24"/>
        </w:rPr>
      </w:pPr>
      <w:sdt>
        <w:sdtPr>
          <w:rPr>
            <w:rFonts w:ascii="Tahoma" w:hAnsi="Tahoma" w:cs="Tahoma"/>
            <w:sz w:val="24"/>
            <w:szCs w:val="24"/>
          </w:rPr>
          <w:id w:val="-2081054370"/>
          <w:placeholder>
            <w:docPart w:val="A63D8E05BD934D12974E8A0F4B3532CF"/>
          </w:placeholder>
          <w:text/>
        </w:sdtPr>
        <w:sdtEndPr/>
        <w:sdtContent>
          <w:r w:rsidR="00407DA2" w:rsidRPr="00407DA2">
            <w:rPr>
              <w:rFonts w:ascii="Tahoma" w:hAnsi="Tahoma" w:cs="Tahoma"/>
              <w:sz w:val="24"/>
              <w:szCs w:val="24"/>
            </w:rPr>
            <w:t>The results revealed overall improvement in fluid balance compliance but the target of 70% compliance was not reached for September 24. Although the overall compliance target was not reached there were areas of significant improvement noted. One acute site had 9 out of 13</w:t>
          </w:r>
          <w:r w:rsidR="00E2792B">
            <w:rPr>
              <w:rFonts w:ascii="Tahoma" w:hAnsi="Tahoma" w:cs="Tahoma"/>
              <w:sz w:val="24"/>
              <w:szCs w:val="24"/>
            </w:rPr>
            <w:t xml:space="preserve"> </w:t>
          </w:r>
          <w:r w:rsidR="00407DA2" w:rsidRPr="00407DA2">
            <w:rPr>
              <w:rFonts w:ascii="Tahoma" w:hAnsi="Tahoma" w:cs="Tahoma"/>
              <w:sz w:val="24"/>
              <w:szCs w:val="24"/>
            </w:rPr>
            <w:t>areas &gt;80% and 2&gt;/13 areas &gt;90% compliance. A total of 350 staff were trained in a 2-month period equating of 1/3 of eligible staff</w:t>
          </w:r>
          <w:r w:rsidR="00E2792B">
            <w:rPr>
              <w:rFonts w:ascii="Tahoma" w:hAnsi="Tahoma" w:cs="Tahoma"/>
              <w:sz w:val="24"/>
              <w:szCs w:val="24"/>
            </w:rPr>
            <w:t>.</w:t>
          </w:r>
          <w:r w:rsidR="00407DA2" w:rsidRPr="00407DA2">
            <w:rPr>
              <w:rFonts w:ascii="Tahoma" w:hAnsi="Tahoma" w:cs="Tahoma"/>
              <w:sz w:val="24"/>
              <w:szCs w:val="24"/>
            </w:rPr>
            <w:t xml:space="preserve">  </w:t>
          </w:r>
        </w:sdtContent>
      </w:sdt>
    </w:p>
    <w:p w14:paraId="372B01CE" w14:textId="2E4E77C0" w:rsidR="00407DA2" w:rsidRDefault="00E2792B" w:rsidP="00407DA2">
      <w:pPr>
        <w:spacing w:after="0"/>
        <w:jc w:val="both"/>
        <w:rPr>
          <w:rFonts w:ascii="Tahoma" w:hAnsi="Tahoma" w:cs="Tahoma"/>
          <w:b/>
          <w:bCs/>
          <w:sz w:val="24"/>
          <w:szCs w:val="24"/>
        </w:rPr>
      </w:pPr>
      <w:r>
        <w:rPr>
          <w:rFonts w:ascii="Tahoma" w:hAnsi="Tahoma" w:cs="Tahoma"/>
          <w:b/>
          <w:bCs/>
          <w:sz w:val="24"/>
          <w:szCs w:val="24"/>
        </w:rPr>
        <w:tab/>
      </w:r>
    </w:p>
    <w:p w14:paraId="1354DC17" w14:textId="77777777" w:rsidR="00E2792B" w:rsidRDefault="00E2792B" w:rsidP="00407DA2">
      <w:pPr>
        <w:spacing w:after="0"/>
        <w:jc w:val="both"/>
        <w:rPr>
          <w:rFonts w:ascii="Tahoma" w:hAnsi="Tahoma" w:cs="Tahoma"/>
          <w:b/>
          <w:bCs/>
          <w:sz w:val="24"/>
          <w:szCs w:val="24"/>
        </w:rPr>
      </w:pPr>
    </w:p>
    <w:p w14:paraId="79D016C6" w14:textId="275C7C90" w:rsidR="001D73FB" w:rsidRDefault="001D73FB" w:rsidP="00407DA2">
      <w:pPr>
        <w:spacing w:after="0"/>
        <w:jc w:val="both"/>
        <w:rPr>
          <w:rFonts w:ascii="Tahoma" w:hAnsi="Tahoma" w:cs="Tahoma"/>
          <w:b/>
          <w:bCs/>
          <w:sz w:val="24"/>
          <w:szCs w:val="24"/>
        </w:rPr>
      </w:pPr>
      <w:r>
        <w:rPr>
          <w:rFonts w:ascii="Tahoma" w:hAnsi="Tahoma" w:cs="Tahoma"/>
          <w:b/>
          <w:bCs/>
          <w:sz w:val="24"/>
          <w:szCs w:val="24"/>
        </w:rPr>
        <w:lastRenderedPageBreak/>
        <w:t>Conclusion:</w:t>
      </w:r>
    </w:p>
    <w:p w14:paraId="22236B8B" w14:textId="577E585B" w:rsidR="00407DA2" w:rsidRDefault="00980AF3" w:rsidP="00407DA2">
      <w:pPr>
        <w:spacing w:after="0"/>
        <w:jc w:val="both"/>
        <w:rPr>
          <w:rFonts w:ascii="Tahoma" w:hAnsi="Tahoma" w:cs="Tahoma"/>
          <w:b/>
          <w:bCs/>
          <w:sz w:val="24"/>
          <w:szCs w:val="24"/>
        </w:rPr>
      </w:pPr>
      <w:sdt>
        <w:sdtPr>
          <w:rPr>
            <w:rFonts w:ascii="Tahoma" w:hAnsi="Tahoma" w:cs="Tahoma"/>
            <w:sz w:val="24"/>
            <w:szCs w:val="24"/>
          </w:rPr>
          <w:id w:val="1710290598"/>
          <w:placeholder>
            <w:docPart w:val="350079910BC147D5995130981A1B88CE"/>
          </w:placeholder>
          <w:text/>
        </w:sdtPr>
        <w:sdtEndPr/>
        <w:sdtContent>
          <w:r w:rsidR="00407DA2" w:rsidRPr="00407DA2">
            <w:rPr>
              <w:rFonts w:ascii="Tahoma" w:hAnsi="Tahoma" w:cs="Tahoma"/>
              <w:sz w:val="24"/>
              <w:szCs w:val="24"/>
            </w:rPr>
            <w:t>In conclusion the service evaluation revealed that educational awareness has improved the compliance with fluid balance which will have an impact on patient care and safety. More work is required to sustain the improvement and more educational awareness is required at some acute sites</w:t>
          </w:r>
          <w:r w:rsidR="00E2792B">
            <w:rPr>
              <w:rFonts w:ascii="Tahoma" w:hAnsi="Tahoma" w:cs="Tahoma"/>
              <w:sz w:val="24"/>
              <w:szCs w:val="24"/>
            </w:rPr>
            <w:t>.</w:t>
          </w:r>
        </w:sdtContent>
      </w:sdt>
    </w:p>
    <w:sectPr w:rsidR="00407DA2"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FC62D2"/>
    <w:multiLevelType w:val="hybridMultilevel"/>
    <w:tmpl w:val="AFB40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F169D"/>
    <w:rsid w:val="00312351"/>
    <w:rsid w:val="003378B3"/>
    <w:rsid w:val="00400A84"/>
    <w:rsid w:val="00407DA2"/>
    <w:rsid w:val="0073698D"/>
    <w:rsid w:val="007E6854"/>
    <w:rsid w:val="0084790E"/>
    <w:rsid w:val="00957516"/>
    <w:rsid w:val="00980AF3"/>
    <w:rsid w:val="00A70F30"/>
    <w:rsid w:val="00AC3303"/>
    <w:rsid w:val="00B6413D"/>
    <w:rsid w:val="00DB03CE"/>
    <w:rsid w:val="00E0156E"/>
    <w:rsid w:val="00E065C5"/>
    <w:rsid w:val="00E2792B"/>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7DA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CE53BBEFA9E4BD286528DDBA9F64E0F"/>
        <w:category>
          <w:name w:val="General"/>
          <w:gallery w:val="placeholder"/>
        </w:category>
        <w:types>
          <w:type w:val="bbPlcHdr"/>
        </w:types>
        <w:behaviors>
          <w:behavior w:val="content"/>
        </w:behaviors>
        <w:guid w:val="{DA646F80-07DC-431B-9842-8CB71F9F11C6}"/>
      </w:docPartPr>
      <w:docPartBody>
        <w:p w:rsidR="009E5E62" w:rsidRDefault="002D0F86" w:rsidP="002D0F86">
          <w:pPr>
            <w:pStyle w:val="3CE53BBEFA9E4BD286528DDBA9F64E0F"/>
          </w:pPr>
          <w:r w:rsidRPr="00810C78">
            <w:rPr>
              <w:rStyle w:val="PlaceholderText"/>
            </w:rPr>
            <w:t>Click or tap here to enter text.</w:t>
          </w:r>
        </w:p>
      </w:docPartBody>
    </w:docPart>
    <w:docPart>
      <w:docPartPr>
        <w:name w:val="A31A078BAB68432D855AB3C5F0DA4A20"/>
        <w:category>
          <w:name w:val="General"/>
          <w:gallery w:val="placeholder"/>
        </w:category>
        <w:types>
          <w:type w:val="bbPlcHdr"/>
        </w:types>
        <w:behaviors>
          <w:behavior w:val="content"/>
        </w:behaviors>
        <w:guid w:val="{A6B536B7-7616-4E91-800C-D56B7F0F9F5E}"/>
      </w:docPartPr>
      <w:docPartBody>
        <w:p w:rsidR="009E5E62" w:rsidRDefault="002D0F86" w:rsidP="002D0F86">
          <w:pPr>
            <w:pStyle w:val="A31A078BAB68432D855AB3C5F0DA4A20"/>
          </w:pPr>
          <w:r w:rsidRPr="00810C78">
            <w:rPr>
              <w:rStyle w:val="PlaceholderText"/>
            </w:rPr>
            <w:t>Click or tap here to enter text.</w:t>
          </w:r>
        </w:p>
      </w:docPartBody>
    </w:docPart>
    <w:docPart>
      <w:docPartPr>
        <w:name w:val="FFEE8F1E4EE746BD98AB8238549244A8"/>
        <w:category>
          <w:name w:val="General"/>
          <w:gallery w:val="placeholder"/>
        </w:category>
        <w:types>
          <w:type w:val="bbPlcHdr"/>
        </w:types>
        <w:behaviors>
          <w:behavior w:val="content"/>
        </w:behaviors>
        <w:guid w:val="{AFB2FFEB-8BD3-4867-A36F-18EA5F9C6AB2}"/>
      </w:docPartPr>
      <w:docPartBody>
        <w:p w:rsidR="009E5E62" w:rsidRDefault="002D0F86" w:rsidP="002D0F86">
          <w:pPr>
            <w:pStyle w:val="FFEE8F1E4EE746BD98AB8238549244A8"/>
          </w:pPr>
          <w:r w:rsidRPr="00810C78">
            <w:rPr>
              <w:rStyle w:val="PlaceholderText"/>
            </w:rPr>
            <w:t>Click or tap here to enter text.</w:t>
          </w:r>
        </w:p>
      </w:docPartBody>
    </w:docPart>
    <w:docPart>
      <w:docPartPr>
        <w:name w:val="B2D511493F1D479193D843ABC727A2E3"/>
        <w:category>
          <w:name w:val="General"/>
          <w:gallery w:val="placeholder"/>
        </w:category>
        <w:types>
          <w:type w:val="bbPlcHdr"/>
        </w:types>
        <w:behaviors>
          <w:behavior w:val="content"/>
        </w:behaviors>
        <w:guid w:val="{866F6056-7979-46B5-88AA-9F2468EC68BA}"/>
      </w:docPartPr>
      <w:docPartBody>
        <w:p w:rsidR="009E5E62" w:rsidRDefault="002D0F86" w:rsidP="002D0F86">
          <w:pPr>
            <w:pStyle w:val="B2D511493F1D479193D843ABC727A2E3"/>
          </w:pPr>
          <w:r w:rsidRPr="00810C78">
            <w:rPr>
              <w:rStyle w:val="PlaceholderText"/>
            </w:rPr>
            <w:t>Click or tap here to enter text.</w:t>
          </w:r>
        </w:p>
      </w:docPartBody>
    </w:docPart>
    <w:docPart>
      <w:docPartPr>
        <w:name w:val="A63D8E05BD934D12974E8A0F4B3532CF"/>
        <w:category>
          <w:name w:val="General"/>
          <w:gallery w:val="placeholder"/>
        </w:category>
        <w:types>
          <w:type w:val="bbPlcHdr"/>
        </w:types>
        <w:behaviors>
          <w:behavior w:val="content"/>
        </w:behaviors>
        <w:guid w:val="{F623B595-1D75-4068-AE46-056D1016DB04}"/>
      </w:docPartPr>
      <w:docPartBody>
        <w:p w:rsidR="009E5E62" w:rsidRDefault="002D0F86" w:rsidP="002D0F86">
          <w:pPr>
            <w:pStyle w:val="A63D8E05BD934D12974E8A0F4B3532CF"/>
          </w:pPr>
          <w:r w:rsidRPr="00810C78">
            <w:rPr>
              <w:rStyle w:val="PlaceholderText"/>
            </w:rPr>
            <w:t>Click or tap here to enter text.</w:t>
          </w:r>
        </w:p>
      </w:docPartBody>
    </w:docPart>
    <w:docPart>
      <w:docPartPr>
        <w:name w:val="350079910BC147D5995130981A1B88CE"/>
        <w:category>
          <w:name w:val="General"/>
          <w:gallery w:val="placeholder"/>
        </w:category>
        <w:types>
          <w:type w:val="bbPlcHdr"/>
        </w:types>
        <w:behaviors>
          <w:behavior w:val="content"/>
        </w:behaviors>
        <w:guid w:val="{D6D90687-74C2-4D58-8364-3DA743286C0E}"/>
      </w:docPartPr>
      <w:docPartBody>
        <w:p w:rsidR="009E5E62" w:rsidRDefault="002D0F86" w:rsidP="002D0F86">
          <w:pPr>
            <w:pStyle w:val="350079910BC147D5995130981A1B88CE"/>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F86"/>
    <w:rsid w:val="002D0F86"/>
    <w:rsid w:val="009E5E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D0F86"/>
    <w:rPr>
      <w:color w:val="808080"/>
    </w:rPr>
  </w:style>
  <w:style w:type="paragraph" w:customStyle="1" w:styleId="3CE53BBEFA9E4BD286528DDBA9F64E0F">
    <w:name w:val="3CE53BBEFA9E4BD286528DDBA9F64E0F"/>
    <w:rsid w:val="002D0F86"/>
  </w:style>
  <w:style w:type="paragraph" w:customStyle="1" w:styleId="A31A078BAB68432D855AB3C5F0DA4A20">
    <w:name w:val="A31A078BAB68432D855AB3C5F0DA4A20"/>
    <w:rsid w:val="002D0F86"/>
  </w:style>
  <w:style w:type="paragraph" w:customStyle="1" w:styleId="FFEE8F1E4EE746BD98AB8238549244A8">
    <w:name w:val="FFEE8F1E4EE746BD98AB8238549244A8"/>
    <w:rsid w:val="002D0F86"/>
  </w:style>
  <w:style w:type="paragraph" w:customStyle="1" w:styleId="B2D511493F1D479193D843ABC727A2E3">
    <w:name w:val="B2D511493F1D479193D843ABC727A2E3"/>
    <w:rsid w:val="002D0F86"/>
  </w:style>
  <w:style w:type="paragraph" w:customStyle="1" w:styleId="A63D8E05BD934D12974E8A0F4B3532CF">
    <w:name w:val="A63D8E05BD934D12974E8A0F4B3532CF"/>
    <w:rsid w:val="002D0F86"/>
  </w:style>
  <w:style w:type="paragraph" w:customStyle="1" w:styleId="350079910BC147D5995130981A1B88CE">
    <w:name w:val="350079910BC147D5995130981A1B88CE"/>
    <w:rsid w:val="002D0F8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428</Words>
  <Characters>2446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6</cp:revision>
  <dcterms:created xsi:type="dcterms:W3CDTF">2024-11-04T17:39:00Z</dcterms:created>
  <dcterms:modified xsi:type="dcterms:W3CDTF">2024-11-22T09:22:00Z</dcterms:modified>
</cp:coreProperties>
</file>