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625CEE24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</w:p>
    <w:p w14:paraId="19EAC598" w14:textId="07C4418B" w:rsidR="007E44AF" w:rsidRDefault="00C726C5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t>“Seasonal variation in the association between the rs2228145 variant of the IL-6R gene and self-reported long-COVID symptoms: a clinical study”</w:t>
      </w:r>
    </w:p>
    <w:p w14:paraId="0F132041" w14:textId="77777777" w:rsidR="00C726C5" w:rsidRPr="00BC704D" w:rsidRDefault="00C726C5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4807CCDD" w14:textId="77777777" w:rsidR="00955E66" w:rsidRDefault="003378B3" w:rsidP="00955E66">
      <w:pPr>
        <w:spacing w:after="0"/>
        <w:rPr>
          <w:rFonts w:ascii="Tahoma" w:hAnsi="Tahoma" w:cs="Tahoma"/>
          <w:bCs/>
          <w:noProof/>
          <w:sz w:val="24"/>
          <w:szCs w:val="28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C726C5">
        <w:rPr>
          <w:rFonts w:ascii="Tahoma" w:hAnsi="Tahoma" w:cs="Tahoma"/>
          <w:bCs/>
          <w:noProof/>
          <w:sz w:val="24"/>
          <w:szCs w:val="28"/>
        </w:rPr>
        <w:t>Webb, R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1</w:t>
      </w:r>
      <w:r w:rsidR="00C726C5">
        <w:rPr>
          <w:rFonts w:ascii="Tahoma" w:hAnsi="Tahoma" w:cs="Tahoma"/>
          <w:bCs/>
          <w:noProof/>
          <w:sz w:val="24"/>
          <w:szCs w:val="28"/>
        </w:rPr>
        <w:t>., Ress, K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1</w:t>
      </w:r>
      <w:r w:rsidR="00C726C5">
        <w:rPr>
          <w:rFonts w:ascii="Tahoma" w:hAnsi="Tahoma" w:cs="Tahoma"/>
          <w:bCs/>
          <w:noProof/>
          <w:sz w:val="24"/>
          <w:szCs w:val="28"/>
        </w:rPr>
        <w:t>., Geen, J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2</w:t>
      </w:r>
      <w:r w:rsidR="00C726C5">
        <w:rPr>
          <w:rFonts w:ascii="Tahoma" w:hAnsi="Tahoma" w:cs="Tahoma"/>
          <w:bCs/>
          <w:noProof/>
          <w:sz w:val="24"/>
          <w:szCs w:val="28"/>
        </w:rPr>
        <w:t>., Morris, K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1</w:t>
      </w:r>
      <w:r w:rsidR="00C726C5">
        <w:rPr>
          <w:rFonts w:ascii="Tahoma" w:hAnsi="Tahoma" w:cs="Tahoma"/>
          <w:bCs/>
          <w:noProof/>
          <w:sz w:val="24"/>
          <w:szCs w:val="28"/>
        </w:rPr>
        <w:t>., Lynch, C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3</w:t>
      </w:r>
      <w:r w:rsidR="00C726C5">
        <w:rPr>
          <w:rFonts w:ascii="Tahoma" w:hAnsi="Tahoma" w:cs="Tahoma"/>
          <w:bCs/>
          <w:noProof/>
          <w:sz w:val="24"/>
          <w:szCs w:val="28"/>
        </w:rPr>
        <w:t xml:space="preserve">., </w:t>
      </w:r>
      <w:r w:rsidR="00C726C5">
        <w:rPr>
          <w:rFonts w:ascii="Tahoma" w:hAnsi="Tahoma" w:cs="Tahoma"/>
          <w:bCs/>
          <w:noProof/>
          <w:sz w:val="24"/>
          <w:szCs w:val="28"/>
          <w:vertAlign w:val="superscript"/>
        </w:rPr>
        <w:t>6</w:t>
      </w:r>
      <w:r w:rsidR="00C726C5">
        <w:rPr>
          <w:rFonts w:ascii="Tahoma" w:hAnsi="Tahoma" w:cs="Tahoma"/>
          <w:bCs/>
          <w:noProof/>
          <w:sz w:val="24"/>
          <w:szCs w:val="28"/>
        </w:rPr>
        <w:t>Tennant, B</w:t>
      </w:r>
      <w:r w:rsidR="00F134D9">
        <w:rPr>
          <w:rFonts w:ascii="Tahoma" w:hAnsi="Tahoma" w:cs="Tahoma"/>
          <w:bCs/>
          <w:noProof/>
          <w:sz w:val="24"/>
          <w:szCs w:val="28"/>
          <w:vertAlign w:val="superscript"/>
        </w:rPr>
        <w:t>2</w:t>
      </w:r>
      <w:r w:rsidR="00C726C5">
        <w:rPr>
          <w:rFonts w:ascii="Tahoma" w:hAnsi="Tahoma" w:cs="Tahoma"/>
          <w:bCs/>
          <w:noProof/>
          <w:sz w:val="24"/>
          <w:szCs w:val="28"/>
        </w:rPr>
        <w:t xml:space="preserve">., </w:t>
      </w:r>
      <w:r w:rsidR="00C726C5">
        <w:rPr>
          <w:rFonts w:ascii="Tahoma" w:hAnsi="Tahoma" w:cs="Tahoma"/>
          <w:bCs/>
          <w:noProof/>
          <w:sz w:val="24"/>
          <w:szCs w:val="28"/>
          <w:vertAlign w:val="superscript"/>
        </w:rPr>
        <w:t>7</w:t>
      </w:r>
      <w:r w:rsidR="00C726C5">
        <w:rPr>
          <w:rFonts w:ascii="Tahoma" w:hAnsi="Tahoma" w:cs="Tahoma"/>
          <w:bCs/>
          <w:noProof/>
          <w:sz w:val="24"/>
          <w:szCs w:val="28"/>
        </w:rPr>
        <w:t>Dodd, A</w:t>
      </w:r>
      <w:r w:rsidR="00F134D9">
        <w:rPr>
          <w:rFonts w:ascii="Tahoma" w:hAnsi="Tahoma" w:cs="Tahoma"/>
          <w:bCs/>
          <w:noProof/>
          <w:sz w:val="24"/>
          <w:szCs w:val="28"/>
          <w:vertAlign w:val="superscript"/>
        </w:rPr>
        <w:t>2</w:t>
      </w:r>
      <w:r w:rsidR="00C726C5">
        <w:rPr>
          <w:rFonts w:ascii="Tahoma" w:hAnsi="Tahoma" w:cs="Tahoma"/>
          <w:bCs/>
          <w:noProof/>
          <w:sz w:val="24"/>
          <w:szCs w:val="28"/>
        </w:rPr>
        <w:t>., Aicheler, R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1</w:t>
      </w:r>
      <w:r w:rsidR="00C726C5">
        <w:rPr>
          <w:rFonts w:ascii="Tahoma" w:hAnsi="Tahoma" w:cs="Tahoma"/>
          <w:bCs/>
          <w:noProof/>
          <w:sz w:val="24"/>
          <w:szCs w:val="28"/>
        </w:rPr>
        <w:t>., Butcher, L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1</w:t>
      </w:r>
      <w:r w:rsidR="00C726C5">
        <w:rPr>
          <w:rFonts w:ascii="Tahoma" w:hAnsi="Tahoma" w:cs="Tahoma"/>
          <w:bCs/>
          <w:noProof/>
          <w:sz w:val="24"/>
          <w:szCs w:val="28"/>
        </w:rPr>
        <w:t>.</w:t>
      </w:r>
    </w:p>
    <w:p w14:paraId="5CFA3287" w14:textId="4B3B9674" w:rsidR="003378B3" w:rsidRPr="00955E66" w:rsidRDefault="00C726C5" w:rsidP="00955E66">
      <w:pPr>
        <w:spacing w:after="0"/>
        <w:rPr>
          <w:rFonts w:ascii="Tahoma" w:hAnsi="Tahoma" w:cs="Tahoma"/>
          <w:noProof/>
          <w:sz w:val="16"/>
          <w:szCs w:val="16"/>
        </w:rPr>
      </w:pPr>
      <w:r>
        <w:rPr>
          <w:rFonts w:ascii="Tahoma" w:hAnsi="Tahoma" w:cs="Tahoma"/>
          <w:bCs/>
          <w:noProof/>
          <w:sz w:val="24"/>
          <w:szCs w:val="28"/>
        </w:rPr>
        <w:t xml:space="preserve"> </w:t>
      </w:r>
    </w:p>
    <w:p w14:paraId="0EF06F1D" w14:textId="70F83D51" w:rsidR="0073698D" w:rsidRPr="00C726C5" w:rsidRDefault="0073698D" w:rsidP="003378B3">
      <w:pPr>
        <w:rPr>
          <w:rFonts w:ascii="Tahoma" w:hAnsi="Tahoma" w:cs="Tahoma"/>
          <w:bCs/>
          <w:noProof/>
          <w:sz w:val="24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7E44AF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7E44AF">
        <w:rPr>
          <w:rFonts w:ascii="Tahoma" w:hAnsi="Tahoma" w:cs="Tahoma"/>
          <w:bCs/>
          <w:noProof/>
          <w:sz w:val="24"/>
          <w:szCs w:val="28"/>
          <w:vertAlign w:val="superscript"/>
        </w:rPr>
        <w:t>1</w:t>
      </w:r>
      <w:r w:rsidR="00C726C5">
        <w:rPr>
          <w:rFonts w:ascii="Tahoma" w:hAnsi="Tahoma" w:cs="Tahoma"/>
          <w:bCs/>
          <w:noProof/>
          <w:sz w:val="24"/>
          <w:szCs w:val="28"/>
        </w:rPr>
        <w:t>Department of Biomedical Sciences, Cardiff Metropolitan University</w:t>
      </w:r>
      <w:r w:rsidR="00BC704D">
        <w:rPr>
          <w:rFonts w:ascii="Tahoma" w:hAnsi="Tahoma" w:cs="Tahoma"/>
          <w:bCs/>
          <w:noProof/>
          <w:sz w:val="24"/>
          <w:szCs w:val="28"/>
        </w:rPr>
        <w:t>.</w:t>
      </w:r>
      <w:r w:rsidR="00C726C5">
        <w:rPr>
          <w:rFonts w:ascii="Tahoma" w:hAnsi="Tahoma" w:cs="Tahoma"/>
          <w:bCs/>
          <w:noProof/>
          <w:sz w:val="24"/>
          <w:szCs w:val="28"/>
        </w:rPr>
        <w:t xml:space="preserve"> 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2</w:t>
      </w:r>
      <w:r w:rsidR="00C726C5">
        <w:rPr>
          <w:rFonts w:ascii="Tahoma" w:hAnsi="Tahoma" w:cs="Tahoma"/>
          <w:bCs/>
          <w:noProof/>
          <w:sz w:val="24"/>
          <w:szCs w:val="28"/>
        </w:rPr>
        <w:t xml:space="preserve">Pathology, Cwm Taf Morgannwg University Health Board. </w:t>
      </w:r>
      <w:r w:rsidR="00BC704D">
        <w:rPr>
          <w:rFonts w:ascii="Tahoma" w:hAnsi="Tahoma" w:cs="Tahoma"/>
          <w:bCs/>
          <w:noProof/>
          <w:sz w:val="24"/>
          <w:szCs w:val="28"/>
          <w:vertAlign w:val="superscript"/>
        </w:rPr>
        <w:t>3</w:t>
      </w:r>
      <w:r w:rsidR="00C726C5">
        <w:rPr>
          <w:rFonts w:ascii="Tahoma" w:hAnsi="Tahoma" w:cs="Tahoma"/>
          <w:bCs/>
          <w:noProof/>
          <w:sz w:val="24"/>
          <w:szCs w:val="28"/>
        </w:rPr>
        <w:t xml:space="preserve">Anaesthetics, Cwm Taf Morgannwg University Health Board.  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023497C3" w:rsidR="00400A84" w:rsidRDefault="001D73FB" w:rsidP="00955E6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1BAE4231" w14:textId="65C1CA5B" w:rsidR="007E44AF" w:rsidRPr="007E44AF" w:rsidRDefault="00C726C5" w:rsidP="00955E66">
      <w:pPr>
        <w:spacing w:line="240" w:lineRule="auto"/>
        <w:jc w:val="both"/>
        <w:rPr>
          <w:rFonts w:ascii="Tahoma" w:hAnsi="Tahoma" w:cs="Tahoma"/>
          <w:bCs/>
          <w:sz w:val="2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t>This clinical observational study focused on the impact of IL-6 signalling factors (</w:t>
      </w:r>
      <w:r>
        <w:rPr>
          <w:rFonts w:ascii="Tahoma" w:hAnsi="Tahoma" w:cs="Tahoma"/>
          <w:noProof/>
          <w:sz w:val="24"/>
          <w:szCs w:val="24"/>
        </w:rPr>
        <w:t>including</w:t>
      </w:r>
      <w:r w:rsidRPr="00F05204">
        <w:rPr>
          <w:rFonts w:ascii="Tahoma" w:hAnsi="Tahoma" w:cs="Tahoma"/>
          <w:noProof/>
          <w:sz w:val="24"/>
          <w:szCs w:val="24"/>
        </w:rPr>
        <w:t xml:space="preserve"> </w:t>
      </w:r>
      <w:r w:rsidRPr="008D60F3">
        <w:rPr>
          <w:rFonts w:ascii="Tahoma" w:hAnsi="Tahoma" w:cs="Tahoma"/>
          <w:noProof/>
          <w:sz w:val="24"/>
          <w:szCs w:val="24"/>
        </w:rPr>
        <w:t>circulating levels of IL-6</w:t>
      </w:r>
      <w:r>
        <w:rPr>
          <w:rFonts w:ascii="Tahoma" w:hAnsi="Tahoma" w:cs="Tahoma"/>
          <w:noProof/>
          <w:sz w:val="24"/>
          <w:szCs w:val="24"/>
        </w:rPr>
        <w:t xml:space="preserve">, IL-6R and sgp130, and </w:t>
      </w:r>
      <w:r w:rsidRPr="00F05204">
        <w:rPr>
          <w:rFonts w:ascii="Tahoma" w:hAnsi="Tahoma" w:cs="Tahoma"/>
          <w:noProof/>
          <w:sz w:val="24"/>
          <w:szCs w:val="24"/>
        </w:rPr>
        <w:t>the IL-6R gene’s rs2228145 polymorphism) on long-COVID risk in individuals who had previously undergone COVID-19 infection(s).</w:t>
      </w:r>
    </w:p>
    <w:p w14:paraId="7348F163" w14:textId="21C65EDE" w:rsidR="001D73FB" w:rsidRDefault="001D73FB" w:rsidP="00955E6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5232404A" w14:textId="354E681F" w:rsidR="007E44AF" w:rsidRDefault="00C726C5" w:rsidP="00955E66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T</w:t>
      </w:r>
      <w:r w:rsidRPr="00F05204">
        <w:rPr>
          <w:rFonts w:ascii="Tahoma" w:hAnsi="Tahoma" w:cs="Tahoma"/>
          <w:noProof/>
          <w:sz w:val="24"/>
          <w:szCs w:val="24"/>
        </w:rPr>
        <w:t xml:space="preserve">he </w:t>
      </w:r>
      <w:r>
        <w:rPr>
          <w:rFonts w:ascii="Tahoma" w:hAnsi="Tahoma" w:cs="Tahoma"/>
          <w:noProof/>
          <w:sz w:val="24"/>
          <w:szCs w:val="24"/>
        </w:rPr>
        <w:t xml:space="preserve">study's </w:t>
      </w:r>
      <w:r w:rsidRPr="00F05204">
        <w:rPr>
          <w:rFonts w:ascii="Tahoma" w:hAnsi="Tahoma" w:cs="Tahoma"/>
          <w:noProof/>
          <w:sz w:val="24"/>
          <w:szCs w:val="24"/>
        </w:rPr>
        <w:t>primary objective was to obtain DNA samples from participants who had previously undergone COVID-19 infection(s) and determine their rs2228145 genotype</w:t>
      </w:r>
      <w:r>
        <w:rPr>
          <w:rFonts w:ascii="Tahoma" w:hAnsi="Tahoma" w:cs="Tahoma"/>
          <w:noProof/>
          <w:sz w:val="24"/>
          <w:szCs w:val="24"/>
        </w:rPr>
        <w:t>s</w:t>
      </w:r>
      <w:r w:rsidRPr="00F05204">
        <w:rPr>
          <w:rFonts w:ascii="Tahoma" w:hAnsi="Tahoma" w:cs="Tahoma"/>
          <w:noProof/>
          <w:sz w:val="24"/>
          <w:szCs w:val="24"/>
        </w:rPr>
        <w:t xml:space="preserve">, while also obtaining questionnaire responses reflecting </w:t>
      </w:r>
      <w:r>
        <w:rPr>
          <w:rFonts w:ascii="Tahoma" w:hAnsi="Tahoma" w:cs="Tahoma"/>
          <w:noProof/>
          <w:sz w:val="24"/>
          <w:szCs w:val="24"/>
        </w:rPr>
        <w:t>participants'</w:t>
      </w:r>
      <w:r w:rsidRPr="00F05204">
        <w:rPr>
          <w:rFonts w:ascii="Tahoma" w:hAnsi="Tahoma" w:cs="Tahoma"/>
          <w:noProof/>
          <w:sz w:val="24"/>
          <w:szCs w:val="24"/>
        </w:rPr>
        <w:t xml:space="preserve"> long-COVID symptoms. </w:t>
      </w:r>
      <w:r>
        <w:rPr>
          <w:rFonts w:ascii="Tahoma" w:hAnsi="Tahoma" w:cs="Tahoma"/>
          <w:noProof/>
          <w:sz w:val="24"/>
          <w:szCs w:val="24"/>
        </w:rPr>
        <w:t>Given</w:t>
      </w:r>
      <w:r w:rsidRPr="00F05204">
        <w:rPr>
          <w:rFonts w:ascii="Tahoma" w:hAnsi="Tahoma" w:cs="Tahoma"/>
          <w:noProof/>
          <w:sz w:val="24"/>
          <w:szCs w:val="24"/>
        </w:rPr>
        <w:t xml:space="preserve"> COVID-19’s </w:t>
      </w:r>
      <w:r>
        <w:rPr>
          <w:rFonts w:ascii="Tahoma" w:hAnsi="Tahoma" w:cs="Tahoma"/>
          <w:noProof/>
          <w:sz w:val="24"/>
          <w:szCs w:val="24"/>
        </w:rPr>
        <w:t>and IL-6's</w:t>
      </w:r>
      <w:r w:rsidRPr="00F05204">
        <w:rPr>
          <w:rFonts w:ascii="Tahoma" w:hAnsi="Tahoma" w:cs="Tahoma"/>
          <w:noProof/>
          <w:sz w:val="24"/>
          <w:szCs w:val="24"/>
        </w:rPr>
        <w:t xml:space="preserve"> </w:t>
      </w:r>
      <w:r>
        <w:rPr>
          <w:rFonts w:ascii="Tahoma" w:hAnsi="Tahoma" w:cs="Tahoma"/>
          <w:noProof/>
          <w:sz w:val="24"/>
          <w:szCs w:val="24"/>
        </w:rPr>
        <w:t xml:space="preserve">well-documented </w:t>
      </w:r>
      <w:r w:rsidRPr="00F05204">
        <w:rPr>
          <w:rFonts w:ascii="Tahoma" w:hAnsi="Tahoma" w:cs="Tahoma"/>
          <w:noProof/>
          <w:sz w:val="24"/>
          <w:szCs w:val="24"/>
        </w:rPr>
        <w:t>seasonal nature</w:t>
      </w:r>
      <w:r>
        <w:rPr>
          <w:rFonts w:ascii="Tahoma" w:hAnsi="Tahoma" w:cs="Tahoma"/>
          <w:noProof/>
          <w:sz w:val="24"/>
          <w:szCs w:val="24"/>
        </w:rPr>
        <w:t>s</w:t>
      </w:r>
      <w:r w:rsidRPr="00F05204">
        <w:rPr>
          <w:rFonts w:ascii="Tahoma" w:hAnsi="Tahoma" w:cs="Tahoma"/>
          <w:noProof/>
          <w:sz w:val="24"/>
          <w:szCs w:val="24"/>
        </w:rPr>
        <w:t>,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F05204">
        <w:rPr>
          <w:rFonts w:ascii="Tahoma" w:hAnsi="Tahoma" w:cs="Tahoma"/>
          <w:noProof/>
          <w:sz w:val="24"/>
          <w:szCs w:val="24"/>
        </w:rPr>
        <w:t>studies, we a</w:t>
      </w:r>
      <w:r>
        <w:rPr>
          <w:rFonts w:ascii="Tahoma" w:hAnsi="Tahoma" w:cs="Tahoma"/>
          <w:noProof/>
          <w:sz w:val="24"/>
          <w:szCs w:val="24"/>
        </w:rPr>
        <w:t>lso a</w:t>
      </w:r>
      <w:r w:rsidRPr="00F05204">
        <w:rPr>
          <w:rFonts w:ascii="Tahoma" w:hAnsi="Tahoma" w:cs="Tahoma"/>
          <w:noProof/>
          <w:sz w:val="24"/>
          <w:szCs w:val="24"/>
        </w:rPr>
        <w:t>imed to evaluate whether significant seasonal variation(s) were present</w:t>
      </w:r>
      <w:r>
        <w:rPr>
          <w:rFonts w:ascii="Tahoma" w:hAnsi="Tahoma" w:cs="Tahoma"/>
          <w:noProof/>
          <w:sz w:val="24"/>
          <w:szCs w:val="24"/>
        </w:rPr>
        <w:t xml:space="preserve"> in our datasets.</w:t>
      </w:r>
    </w:p>
    <w:p w14:paraId="1BFD3C2A" w14:textId="77777777" w:rsidR="00C726C5" w:rsidRPr="00BC704D" w:rsidRDefault="00C726C5" w:rsidP="00955E66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955E6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47F1AAB" w14:textId="15F72662" w:rsidR="007E44AF" w:rsidRDefault="00C726C5" w:rsidP="00955E66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t>DNA and blood samples, plus questionnaire responses regarding long-COVID symptoms (including chronic fatigue/cognitive impairment), were collected from participants (n=175) who had previously undergone COVID-19 infection(s), and potential associations between presence of long-COVID symptoms and participants’ rs2228145 genotypes (determined using TaqMan-based genotyping assays) and/or their circulating IL-6, sIL-6R and sgp130 levels (determined using ELISA) were evaluated.</w:t>
      </w:r>
    </w:p>
    <w:p w14:paraId="420EEFDC" w14:textId="77777777" w:rsidR="007E44AF" w:rsidRPr="00BC704D" w:rsidRDefault="007E44AF" w:rsidP="00955E66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</w:p>
    <w:p w14:paraId="335C0979" w14:textId="6FFA4D43" w:rsidR="001D73FB" w:rsidRDefault="001D73FB" w:rsidP="00955E6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17D1FB48" w14:textId="77777777" w:rsidR="00BC704D" w:rsidRDefault="00C726C5" w:rsidP="00955E66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t xml:space="preserve">Univariate regression analyses demonstrated that odds of exhibiting long-COVID increased with severity/number of previous COVID-19 infection(s) and with either asthma and hypertension, while vaccination significantly decreased the likelihood of contracting long-COVID. While long-COVID sufferers exhibited higher IL-6 </w:t>
      </w:r>
      <w:r>
        <w:rPr>
          <w:rFonts w:ascii="Tahoma" w:hAnsi="Tahoma" w:cs="Tahoma"/>
          <w:noProof/>
          <w:sz w:val="24"/>
          <w:szCs w:val="24"/>
        </w:rPr>
        <w:t>levels</w:t>
      </w:r>
      <w:r w:rsidRPr="00F05204">
        <w:rPr>
          <w:rFonts w:ascii="Tahoma" w:hAnsi="Tahoma" w:cs="Tahoma"/>
          <w:noProof/>
          <w:sz w:val="24"/>
          <w:szCs w:val="24"/>
        </w:rPr>
        <w:t xml:space="preserve"> than healthy control individuals, no rs2228145-related associations were seen for the entire-study cohort. </w:t>
      </w:r>
      <w:r>
        <w:rPr>
          <w:rFonts w:ascii="Tahoma" w:hAnsi="Tahoma" w:cs="Tahoma"/>
          <w:noProof/>
          <w:sz w:val="24"/>
          <w:szCs w:val="24"/>
        </w:rPr>
        <w:t>However, f</w:t>
      </w:r>
      <w:r w:rsidRPr="00F05204">
        <w:rPr>
          <w:rFonts w:ascii="Tahoma" w:hAnsi="Tahoma" w:cs="Tahoma"/>
          <w:noProof/>
          <w:sz w:val="24"/>
          <w:szCs w:val="24"/>
        </w:rPr>
        <w:t xml:space="preserve">ollowing </w:t>
      </w:r>
      <w:r>
        <w:rPr>
          <w:rFonts w:ascii="Tahoma" w:hAnsi="Tahoma" w:cs="Tahoma"/>
          <w:noProof/>
          <w:sz w:val="24"/>
          <w:szCs w:val="24"/>
        </w:rPr>
        <w:t>s</w:t>
      </w:r>
      <w:r w:rsidRPr="00F05204">
        <w:rPr>
          <w:rFonts w:ascii="Tahoma" w:hAnsi="Tahoma" w:cs="Tahoma"/>
          <w:noProof/>
          <w:sz w:val="24"/>
          <w:szCs w:val="24"/>
        </w:rPr>
        <w:t>tratifi</w:t>
      </w:r>
      <w:r>
        <w:rPr>
          <w:rFonts w:ascii="Tahoma" w:hAnsi="Tahoma" w:cs="Tahoma"/>
          <w:noProof/>
          <w:sz w:val="24"/>
          <w:szCs w:val="24"/>
        </w:rPr>
        <w:t>cation</w:t>
      </w:r>
      <w:r w:rsidRPr="00F05204">
        <w:rPr>
          <w:rFonts w:ascii="Tahoma" w:hAnsi="Tahoma" w:cs="Tahoma"/>
          <w:noProof/>
          <w:sz w:val="24"/>
          <w:szCs w:val="24"/>
        </w:rPr>
        <w:t xml:space="preserve"> on a </w:t>
      </w:r>
    </w:p>
    <w:p w14:paraId="34877E77" w14:textId="45884528" w:rsidR="007E44AF" w:rsidRDefault="00C726C5" w:rsidP="00955E66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t>seasonal basis</w:t>
      </w:r>
      <w:r>
        <w:rPr>
          <w:rFonts w:ascii="Tahoma" w:hAnsi="Tahoma" w:cs="Tahoma"/>
          <w:noProof/>
          <w:sz w:val="24"/>
          <w:szCs w:val="24"/>
        </w:rPr>
        <w:t>, in the</w:t>
      </w:r>
      <w:r w:rsidRPr="00F05204">
        <w:rPr>
          <w:rFonts w:ascii="Tahoma" w:hAnsi="Tahoma" w:cs="Tahoma"/>
          <w:noProof/>
          <w:sz w:val="24"/>
          <w:szCs w:val="24"/>
        </w:rPr>
        <w:t xml:space="preserve"> ‘summer’ sub-cohort (but not the ‘winter’ sub-cohort), the rs2228145 AA genotype was significantly over-represented amongst those exhibiting long-COVID symptoms, and long-COVID odds-ratios were significantly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F05204">
        <w:rPr>
          <w:rFonts w:ascii="Tahoma" w:hAnsi="Tahoma" w:cs="Tahoma"/>
          <w:noProof/>
          <w:sz w:val="24"/>
          <w:szCs w:val="24"/>
        </w:rPr>
        <w:t>reduced for the rs2228145 CC and AC genotypes.</w:t>
      </w:r>
    </w:p>
    <w:p w14:paraId="0C670D24" w14:textId="77777777" w:rsidR="00BC704D" w:rsidRPr="00BC704D" w:rsidRDefault="00BC704D" w:rsidP="00955E66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5B2EE2BE" w:rsidR="001D73FB" w:rsidRDefault="001D73FB" w:rsidP="00955E6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4EC91E65" w14:textId="77777777" w:rsidR="00955E66" w:rsidRDefault="00C726C5" w:rsidP="00955E66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t xml:space="preserve">Thus, while interpretation is complicated by seasonal variations, these findings may be of medical/biomedical value: importantly, bearers of the rs2228145 AA genotype within our ‘summer’ </w:t>
      </w:r>
    </w:p>
    <w:p w14:paraId="30BD7DF3" w14:textId="6E4B0343" w:rsidR="007E44AF" w:rsidRDefault="00C726C5" w:rsidP="00955E66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F05204">
        <w:rPr>
          <w:rFonts w:ascii="Tahoma" w:hAnsi="Tahoma" w:cs="Tahoma"/>
          <w:noProof/>
          <w:sz w:val="24"/>
          <w:szCs w:val="24"/>
        </w:rPr>
        <w:lastRenderedPageBreak/>
        <w:t>sub-cohort appeared to be at elevated risk of developing long-COVID. These findings point towards possible future use of rs2228145 genotype as a biomarker predictive of long-COVID risk, which may bring advantages regarding management and treatment of long-COVID.</w:t>
      </w:r>
    </w:p>
    <w:sectPr w:rsidR="007E44AF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A84"/>
    <w:rsid w:val="000114E7"/>
    <w:rsid w:val="001300DE"/>
    <w:rsid w:val="00194A45"/>
    <w:rsid w:val="001D73FB"/>
    <w:rsid w:val="00312351"/>
    <w:rsid w:val="003378B3"/>
    <w:rsid w:val="00400A84"/>
    <w:rsid w:val="0073698D"/>
    <w:rsid w:val="007E44AF"/>
    <w:rsid w:val="0084790E"/>
    <w:rsid w:val="00955E66"/>
    <w:rsid w:val="00957516"/>
    <w:rsid w:val="00A70F30"/>
    <w:rsid w:val="00AC3303"/>
    <w:rsid w:val="00BC704D"/>
    <w:rsid w:val="00C726C5"/>
    <w:rsid w:val="00DB03CE"/>
    <w:rsid w:val="00E0156E"/>
    <w:rsid w:val="00E065C5"/>
    <w:rsid w:val="00EF0E17"/>
    <w:rsid w:val="00F057AF"/>
    <w:rsid w:val="00F13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5</cp:revision>
  <dcterms:created xsi:type="dcterms:W3CDTF">2024-11-11T08:31:00Z</dcterms:created>
  <dcterms:modified xsi:type="dcterms:W3CDTF">2024-11-19T15:39:00Z</dcterms:modified>
</cp:coreProperties>
</file>