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625CEE24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</w:p>
    <w:p w14:paraId="0F132041" w14:textId="6DC2296A" w:rsidR="00C726C5" w:rsidRDefault="00277D45" w:rsidP="00E0156E">
      <w:pPr>
        <w:spacing w:after="0"/>
        <w:rPr>
          <w:rFonts w:ascii="Tahoma" w:hAnsi="Tahoma" w:cs="Tahoma"/>
          <w:noProof/>
          <w:sz w:val="24"/>
          <w:szCs w:val="24"/>
        </w:rPr>
      </w:pPr>
      <w:r w:rsidRPr="00F27D64">
        <w:rPr>
          <w:rFonts w:ascii="Tahoma" w:hAnsi="Tahoma" w:cs="Tahoma"/>
          <w:noProof/>
          <w:sz w:val="24"/>
          <w:szCs w:val="24"/>
        </w:rPr>
        <w:t>A Retrospective Review of Incidences of Delirium in CTMUHB Critical Care Patients</w:t>
      </w:r>
    </w:p>
    <w:p w14:paraId="4CBBCC5B" w14:textId="77777777" w:rsidR="00277D45" w:rsidRPr="00746C48" w:rsidRDefault="00277D45" w:rsidP="00E0156E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5E9ED429" w:rsidR="003378B3" w:rsidRPr="00277D45" w:rsidRDefault="003378B3" w:rsidP="003378B3">
      <w:pPr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277D45">
        <w:rPr>
          <w:rFonts w:ascii="Tahoma" w:hAnsi="Tahoma" w:cs="Tahoma"/>
          <w:bCs/>
          <w:noProof/>
          <w:sz w:val="24"/>
          <w:szCs w:val="28"/>
        </w:rPr>
        <w:t xml:space="preserve">Hughes, F., Roberts, E., Smalley, M., </w:t>
      </w:r>
    </w:p>
    <w:p w14:paraId="0EF06F1D" w14:textId="0E3E1312" w:rsidR="0073698D" w:rsidRPr="00E53349" w:rsidRDefault="0073698D" w:rsidP="003378B3">
      <w:pPr>
        <w:rPr>
          <w:rFonts w:ascii="Tahoma" w:hAnsi="Tahoma" w:cs="Tahoma"/>
          <w:bCs/>
          <w:noProof/>
          <w:sz w:val="24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7E44AF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277D45">
        <w:rPr>
          <w:rFonts w:ascii="Tahoma" w:hAnsi="Tahoma" w:cs="Tahoma"/>
          <w:bCs/>
          <w:noProof/>
          <w:sz w:val="24"/>
          <w:szCs w:val="28"/>
        </w:rPr>
        <w:t xml:space="preserve">Clinical Care Psychology Service, Cwm Taf Morgannwg University Health Board. 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023497C3" w:rsidR="00400A84" w:rsidRDefault="001D73FB" w:rsidP="007D720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10EE1196" w14:textId="1767A8A7" w:rsidR="00E53349" w:rsidRDefault="00277D45" w:rsidP="007D7202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F27D64">
        <w:rPr>
          <w:rFonts w:ascii="Tahoma" w:hAnsi="Tahoma" w:cs="Tahoma"/>
          <w:noProof/>
          <w:sz w:val="24"/>
          <w:szCs w:val="24"/>
        </w:rPr>
        <w:t xml:space="preserve">Intensive Care (ICU) delirium describes acute confusion affecting cognitive abilities </w:t>
      </w:r>
      <w:r>
        <w:rPr>
          <w:rFonts w:ascii="Tahoma" w:hAnsi="Tahoma" w:cs="Tahoma"/>
          <w:noProof/>
          <w:sz w:val="24"/>
          <w:szCs w:val="24"/>
        </w:rPr>
        <w:t xml:space="preserve">(e.g. </w:t>
      </w:r>
      <w:r w:rsidRPr="00F27D64">
        <w:rPr>
          <w:rFonts w:ascii="Tahoma" w:hAnsi="Tahoma" w:cs="Tahoma"/>
          <w:noProof/>
          <w:sz w:val="24"/>
          <w:szCs w:val="24"/>
        </w:rPr>
        <w:t>attention and reasoning</w:t>
      </w:r>
      <w:r>
        <w:rPr>
          <w:rFonts w:ascii="Tahoma" w:hAnsi="Tahoma" w:cs="Tahoma"/>
          <w:noProof/>
          <w:sz w:val="24"/>
          <w:szCs w:val="24"/>
        </w:rPr>
        <w:t>)</w:t>
      </w:r>
      <w:r w:rsidRPr="00F27D64">
        <w:rPr>
          <w:rFonts w:ascii="Tahoma" w:hAnsi="Tahoma" w:cs="Tahoma"/>
          <w:noProof/>
          <w:sz w:val="24"/>
          <w:szCs w:val="24"/>
        </w:rPr>
        <w:t xml:space="preserve">. Delirium is associated with prolonged mechanical ventilation, extended hospital admissions, increased mortality and post-traumatic stress disorder. </w:t>
      </w:r>
      <w:r>
        <w:rPr>
          <w:rFonts w:ascii="Tahoma" w:hAnsi="Tahoma" w:cs="Tahoma"/>
          <w:noProof/>
          <w:sz w:val="24"/>
          <w:szCs w:val="24"/>
        </w:rPr>
        <w:t>Research</w:t>
      </w:r>
      <w:r w:rsidRPr="00F27D64">
        <w:rPr>
          <w:rFonts w:ascii="Tahoma" w:hAnsi="Tahoma" w:cs="Tahoma"/>
          <w:noProof/>
          <w:sz w:val="24"/>
          <w:szCs w:val="24"/>
        </w:rPr>
        <w:t xml:space="preserve"> indicates delirium occurs in 50-80% of ICU patients. Guidelines recommend regular assessment with the Confusion Assessment Method in Intensive Care (CAM-ICU).</w:t>
      </w:r>
    </w:p>
    <w:p w14:paraId="7EBDD7DF" w14:textId="77777777" w:rsidR="00277D45" w:rsidRPr="00746C48" w:rsidRDefault="00277D45" w:rsidP="007D7202">
      <w:pPr>
        <w:spacing w:after="0" w:line="240" w:lineRule="auto"/>
        <w:jc w:val="both"/>
        <w:rPr>
          <w:rFonts w:ascii="Tahoma" w:hAnsi="Tahoma" w:cs="Tahoma"/>
          <w:noProof/>
          <w:sz w:val="16"/>
          <w:szCs w:val="16"/>
        </w:rPr>
      </w:pPr>
    </w:p>
    <w:p w14:paraId="7348F163" w14:textId="51002476" w:rsidR="001D73FB" w:rsidRDefault="00E53349" w:rsidP="007D720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noProof/>
          <w:sz w:val="24"/>
          <w:szCs w:val="24"/>
        </w:rPr>
        <w:t>A</w:t>
      </w:r>
      <w:r w:rsidR="001D73FB">
        <w:rPr>
          <w:rFonts w:ascii="Tahoma" w:hAnsi="Tahoma" w:cs="Tahoma"/>
          <w:b/>
          <w:bCs/>
          <w:sz w:val="24"/>
          <w:szCs w:val="24"/>
        </w:rPr>
        <w:t>im:</w:t>
      </w:r>
    </w:p>
    <w:p w14:paraId="0F899A07" w14:textId="43B0AB10" w:rsidR="00E53349" w:rsidRDefault="00277D45" w:rsidP="007D7202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48270E">
        <w:rPr>
          <w:rFonts w:ascii="Tahoma" w:hAnsi="Tahoma" w:cs="Tahoma"/>
          <w:noProof/>
          <w:sz w:val="24"/>
          <w:szCs w:val="24"/>
        </w:rPr>
        <w:t xml:space="preserve">To identify incidence rates of delirium in Royal Glamorgan Hospital (RGH) and Prince Charles Hospital (PCH) ICUs. To identify common themes of delirium to improve teams’ understanding </w:t>
      </w:r>
      <w:r>
        <w:rPr>
          <w:rFonts w:ascii="Tahoma" w:hAnsi="Tahoma" w:cs="Tahoma"/>
          <w:noProof/>
          <w:sz w:val="24"/>
          <w:szCs w:val="24"/>
        </w:rPr>
        <w:t xml:space="preserve">and management </w:t>
      </w:r>
      <w:r w:rsidRPr="0048270E">
        <w:rPr>
          <w:rFonts w:ascii="Tahoma" w:hAnsi="Tahoma" w:cs="Tahoma"/>
          <w:noProof/>
          <w:sz w:val="24"/>
          <w:szCs w:val="24"/>
        </w:rPr>
        <w:t>of delirium</w:t>
      </w:r>
      <w:r>
        <w:rPr>
          <w:rFonts w:ascii="Tahoma" w:hAnsi="Tahoma" w:cs="Tahoma"/>
          <w:noProof/>
          <w:sz w:val="24"/>
          <w:szCs w:val="24"/>
        </w:rPr>
        <w:t>.</w:t>
      </w:r>
      <w:r w:rsidRPr="0048270E">
        <w:rPr>
          <w:rFonts w:ascii="Tahoma" w:hAnsi="Tahoma" w:cs="Tahoma"/>
          <w:noProof/>
          <w:sz w:val="24"/>
          <w:szCs w:val="24"/>
        </w:rPr>
        <w:t xml:space="preserve"> Princess of Wales ICU was excluded from this study as they do not use digital patient records making retrospective anaylsis more difficult.</w:t>
      </w:r>
    </w:p>
    <w:p w14:paraId="6B9F67DE" w14:textId="77777777" w:rsidR="00277D45" w:rsidRPr="00746C48" w:rsidRDefault="00277D45" w:rsidP="007D7202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104C5553" w:rsidR="001D73FB" w:rsidRDefault="001D73FB" w:rsidP="007D720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20EEFDC" w14:textId="0A73AA52" w:rsidR="007E44AF" w:rsidRDefault="00277D45" w:rsidP="007D7202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>A</w:t>
      </w:r>
      <w:r w:rsidRPr="00F27D64">
        <w:rPr>
          <w:rFonts w:ascii="Tahoma" w:hAnsi="Tahoma" w:cs="Tahoma"/>
          <w:noProof/>
          <w:sz w:val="24"/>
          <w:szCs w:val="24"/>
        </w:rPr>
        <w:t xml:space="preserve"> quantitative and qualitative retrospective analysis of delirium assessment and patients’ self-reported experience of delirium over a 3-month period.</w:t>
      </w:r>
    </w:p>
    <w:p w14:paraId="1259AF4F" w14:textId="77777777" w:rsidR="00277D45" w:rsidRPr="00746C48" w:rsidRDefault="00277D45" w:rsidP="007D7202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</w:p>
    <w:p w14:paraId="335C0979" w14:textId="6FFA4D43" w:rsidR="001D73FB" w:rsidRDefault="001D73FB" w:rsidP="007D720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29B7DFCA" w14:textId="1E3A9F9F" w:rsidR="00E53349" w:rsidRDefault="00277D45" w:rsidP="007D7202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C17723">
        <w:rPr>
          <w:rFonts w:ascii="Tahoma" w:hAnsi="Tahoma" w:cs="Tahoma"/>
          <w:noProof/>
          <w:sz w:val="24"/>
          <w:szCs w:val="24"/>
        </w:rPr>
        <w:t xml:space="preserve">In the three-months reviewed, 266 patients were admitted to ICU. Delirium was detected in 9%-16% of CAM-ICU assessments. However, assessments were only recorded 20%-59% of the time a patient was eligible to be assessed. Patients' self-reported rates of delirium </w:t>
      </w:r>
      <w:r>
        <w:rPr>
          <w:rFonts w:ascii="Tahoma" w:hAnsi="Tahoma" w:cs="Tahoma"/>
          <w:noProof/>
          <w:sz w:val="24"/>
          <w:szCs w:val="24"/>
        </w:rPr>
        <w:t xml:space="preserve">in discussion with the </w:t>
      </w:r>
      <w:r w:rsidRPr="00C17723">
        <w:rPr>
          <w:rFonts w:ascii="Tahoma" w:hAnsi="Tahoma" w:cs="Tahoma"/>
          <w:noProof/>
          <w:sz w:val="24"/>
          <w:szCs w:val="24"/>
        </w:rPr>
        <w:t>psychology team were 55%-64%. Qualitative analysis of these experiences of delirium were of a ‘distressing or disorientating' experience (e.g. feeling unsafe, people not being who they seemed to be and being dead or in a morgue)</w:t>
      </w:r>
      <w:r w:rsidRPr="00F27D64">
        <w:rPr>
          <w:rFonts w:ascii="Tahoma" w:hAnsi="Tahoma" w:cs="Tahoma"/>
          <w:noProof/>
          <w:sz w:val="24"/>
          <w:szCs w:val="24"/>
        </w:rPr>
        <w:t>.</w:t>
      </w:r>
    </w:p>
    <w:p w14:paraId="4A0A4BE3" w14:textId="77777777" w:rsidR="00277D45" w:rsidRPr="00746C48" w:rsidRDefault="00277D45" w:rsidP="007D7202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79D016C6" w14:textId="5B2EE2BE" w:rsidR="001D73FB" w:rsidRDefault="001D73FB" w:rsidP="007D720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30BD7DF3" w14:textId="668BF79D" w:rsidR="007E44AF" w:rsidRDefault="00277D45" w:rsidP="007D720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I</w:t>
      </w:r>
      <w:r w:rsidRPr="0048270E">
        <w:rPr>
          <w:rFonts w:ascii="Tahoma" w:hAnsi="Tahoma" w:cs="Tahoma"/>
          <w:noProof/>
          <w:sz w:val="24"/>
          <w:szCs w:val="24"/>
        </w:rPr>
        <w:t xml:space="preserve">CU delirium can be a traumatic experience for patients. When compared to the literature, delirium incidence rates were significantly lower, however self-reported incidences of delirium were more </w:t>
      </w:r>
      <w:r>
        <w:rPr>
          <w:rFonts w:ascii="Tahoma" w:hAnsi="Tahoma" w:cs="Tahoma"/>
          <w:noProof/>
          <w:sz w:val="24"/>
          <w:szCs w:val="24"/>
        </w:rPr>
        <w:t>prevalen</w:t>
      </w:r>
      <w:r w:rsidRPr="0048270E">
        <w:rPr>
          <w:rFonts w:ascii="Tahoma" w:hAnsi="Tahoma" w:cs="Tahoma"/>
          <w:noProof/>
          <w:sz w:val="24"/>
          <w:szCs w:val="24"/>
        </w:rPr>
        <w:t>t. Inconsistencies with accuracy and recording of delirium have been highlighted</w:t>
      </w:r>
      <w:r>
        <w:rPr>
          <w:rFonts w:ascii="Tahoma" w:hAnsi="Tahoma" w:cs="Tahoma"/>
          <w:noProof/>
          <w:sz w:val="24"/>
          <w:szCs w:val="24"/>
        </w:rPr>
        <w:t xml:space="preserve"> </w:t>
      </w:r>
      <w:r w:rsidRPr="00FE3798">
        <w:rPr>
          <w:rFonts w:ascii="Tahoma" w:hAnsi="Tahoma" w:cs="Tahoma"/>
          <w:noProof/>
          <w:sz w:val="24"/>
          <w:szCs w:val="24"/>
        </w:rPr>
        <w:t>whilst the benefit of follow-up is vital</w:t>
      </w:r>
      <w:r w:rsidRPr="0048270E">
        <w:rPr>
          <w:rFonts w:ascii="Tahoma" w:hAnsi="Tahoma" w:cs="Tahoma"/>
          <w:noProof/>
          <w:sz w:val="24"/>
          <w:szCs w:val="24"/>
        </w:rPr>
        <w:t>. Of those who still recalled their delirium at Outpatient Follow-Up</w:t>
      </w:r>
      <w:r>
        <w:rPr>
          <w:rFonts w:ascii="Tahoma" w:hAnsi="Tahoma" w:cs="Tahoma"/>
          <w:noProof/>
          <w:sz w:val="24"/>
          <w:szCs w:val="24"/>
        </w:rPr>
        <w:t>,</w:t>
      </w:r>
      <w:r w:rsidRPr="0048270E">
        <w:rPr>
          <w:rFonts w:ascii="Tahoma" w:hAnsi="Tahoma" w:cs="Tahoma"/>
          <w:noProof/>
          <w:sz w:val="24"/>
          <w:szCs w:val="24"/>
        </w:rPr>
        <w:t xml:space="preserve"> 30% had PTSD. </w:t>
      </w:r>
      <w:r>
        <w:rPr>
          <w:rFonts w:ascii="Tahoma" w:hAnsi="Tahoma" w:cs="Tahoma"/>
          <w:noProof/>
          <w:sz w:val="24"/>
          <w:szCs w:val="24"/>
        </w:rPr>
        <w:t>The</w:t>
      </w:r>
      <w:r w:rsidRPr="0048270E">
        <w:rPr>
          <w:rFonts w:ascii="Tahoma" w:hAnsi="Tahoma" w:cs="Tahoma"/>
          <w:noProof/>
          <w:sz w:val="24"/>
          <w:szCs w:val="24"/>
        </w:rPr>
        <w:t xml:space="preserve"> literature </w:t>
      </w:r>
      <w:r>
        <w:rPr>
          <w:rFonts w:ascii="Tahoma" w:hAnsi="Tahoma" w:cs="Tahoma"/>
          <w:noProof/>
          <w:sz w:val="24"/>
          <w:szCs w:val="24"/>
        </w:rPr>
        <w:t xml:space="preserve">shows </w:t>
      </w:r>
      <w:r w:rsidRPr="0048270E">
        <w:rPr>
          <w:rFonts w:ascii="Tahoma" w:hAnsi="Tahoma" w:cs="Tahoma"/>
          <w:noProof/>
          <w:sz w:val="24"/>
          <w:szCs w:val="24"/>
        </w:rPr>
        <w:t xml:space="preserve">that assessment improves when nurses have a better understanding of the delirium experience and the implications beyond ICU. These results will be shared with </w:t>
      </w:r>
      <w:r>
        <w:rPr>
          <w:rFonts w:ascii="Tahoma" w:hAnsi="Tahoma" w:cs="Tahoma"/>
          <w:noProof/>
          <w:sz w:val="24"/>
          <w:szCs w:val="24"/>
        </w:rPr>
        <w:t xml:space="preserve">ICU </w:t>
      </w:r>
      <w:r w:rsidRPr="0048270E">
        <w:rPr>
          <w:rFonts w:ascii="Tahoma" w:hAnsi="Tahoma" w:cs="Tahoma"/>
          <w:noProof/>
          <w:sz w:val="24"/>
          <w:szCs w:val="24"/>
        </w:rPr>
        <w:t xml:space="preserve">leadership teams to improve understanding, assessment and management of delirium.  </w:t>
      </w:r>
    </w:p>
    <w:sectPr w:rsidR="007E44AF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0A84"/>
    <w:rsid w:val="000114E7"/>
    <w:rsid w:val="001300DE"/>
    <w:rsid w:val="00194A45"/>
    <w:rsid w:val="001D73FB"/>
    <w:rsid w:val="00277D45"/>
    <w:rsid w:val="00312351"/>
    <w:rsid w:val="003378B3"/>
    <w:rsid w:val="00400A84"/>
    <w:rsid w:val="0073698D"/>
    <w:rsid w:val="00746C48"/>
    <w:rsid w:val="007D7202"/>
    <w:rsid w:val="007E44AF"/>
    <w:rsid w:val="0084790E"/>
    <w:rsid w:val="00957516"/>
    <w:rsid w:val="00A70F30"/>
    <w:rsid w:val="00AC3303"/>
    <w:rsid w:val="00C726C5"/>
    <w:rsid w:val="00DB03CE"/>
    <w:rsid w:val="00E0156E"/>
    <w:rsid w:val="00E065C5"/>
    <w:rsid w:val="00E53349"/>
    <w:rsid w:val="00EF0E17"/>
    <w:rsid w:val="00F05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4</cp:revision>
  <dcterms:created xsi:type="dcterms:W3CDTF">2024-11-11T09:02:00Z</dcterms:created>
  <dcterms:modified xsi:type="dcterms:W3CDTF">2024-11-19T15:36:00Z</dcterms:modified>
</cp:coreProperties>
</file>