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3C747B4" w14:textId="4941AE9E" w:rsidR="00E86AEA" w:rsidRDefault="00400A84" w:rsidP="00400A84">
      <w:pPr>
        <w:jc w:val="center"/>
        <w:rPr>
          <w:noProof/>
        </w:rPr>
      </w:pPr>
      <w:r>
        <w:rPr>
          <w:noProof/>
          <w:lang w:eastAsia="en-GB"/>
        </w:rPr>
        <w:drawing>
          <wp:anchor distT="0" distB="0" distL="114300" distR="114300" simplePos="0" relativeHeight="251659264" behindDoc="1" locked="0" layoutInCell="1" allowOverlap="1" wp14:anchorId="77D4C03B" wp14:editId="54287644">
            <wp:simplePos x="0" y="0"/>
            <wp:positionH relativeFrom="page">
              <wp:align>center</wp:align>
            </wp:positionH>
            <wp:positionV relativeFrom="paragraph">
              <wp:posOffset>-6985</wp:posOffset>
            </wp:positionV>
            <wp:extent cx="3780995" cy="962025"/>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780995" cy="962025"/>
                    </a:xfrm>
                    <a:prstGeom prst="rect">
                      <a:avLst/>
                    </a:prstGeom>
                    <a:noFill/>
                  </pic:spPr>
                </pic:pic>
              </a:graphicData>
            </a:graphic>
            <wp14:sizeRelH relativeFrom="margin">
              <wp14:pctWidth>0</wp14:pctWidth>
            </wp14:sizeRelH>
            <wp14:sizeRelV relativeFrom="margin">
              <wp14:pctHeight>0</wp14:pctHeight>
            </wp14:sizeRelV>
          </wp:anchor>
        </w:drawing>
      </w:r>
    </w:p>
    <w:p w14:paraId="515566B9" w14:textId="697CD7C8" w:rsidR="00400A84" w:rsidRDefault="00400A84" w:rsidP="00400A84">
      <w:pPr>
        <w:jc w:val="center"/>
        <w:rPr>
          <w:noProof/>
        </w:rPr>
      </w:pPr>
    </w:p>
    <w:p w14:paraId="756F0279" w14:textId="3EBEE59A" w:rsidR="00400A84" w:rsidRDefault="00400A84" w:rsidP="00400A84">
      <w:pPr>
        <w:jc w:val="center"/>
        <w:rPr>
          <w:noProof/>
        </w:rPr>
      </w:pPr>
    </w:p>
    <w:p w14:paraId="3C7B1259" w14:textId="587BAC29" w:rsidR="00400A84" w:rsidRDefault="00400A84" w:rsidP="00400A84">
      <w:pPr>
        <w:jc w:val="center"/>
        <w:rPr>
          <w:noProof/>
        </w:rPr>
      </w:pPr>
    </w:p>
    <w:p w14:paraId="1B8873D8" w14:textId="1CA7596D" w:rsidR="00400A84" w:rsidRDefault="003378B3" w:rsidP="00400A84">
      <w:pPr>
        <w:jc w:val="center"/>
        <w:rPr>
          <w:rFonts w:ascii="Tahoma" w:hAnsi="Tahoma" w:cs="Tahoma"/>
          <w:b/>
          <w:bCs/>
          <w:noProof/>
          <w:color w:val="32598A"/>
          <w:sz w:val="32"/>
          <w:szCs w:val="32"/>
        </w:rPr>
      </w:pPr>
      <w:r>
        <w:rPr>
          <w:rFonts w:ascii="Tahoma" w:hAnsi="Tahoma" w:cs="Tahoma"/>
          <w:b/>
          <w:bCs/>
          <w:noProof/>
          <w:color w:val="32598A"/>
          <w:sz w:val="32"/>
          <w:szCs w:val="32"/>
        </w:rPr>
        <w:t>RESEARCH &amp; DEVELOPMENT CONFERENCE 2024</w:t>
      </w:r>
    </w:p>
    <w:p w14:paraId="5B1E7DD7" w14:textId="40C89116" w:rsidR="003378B3" w:rsidRDefault="003378B3" w:rsidP="00E0156E">
      <w:pPr>
        <w:spacing w:after="0"/>
        <w:rPr>
          <w:rFonts w:ascii="Tahoma" w:hAnsi="Tahoma" w:cs="Tahoma"/>
          <w:b/>
          <w:bCs/>
          <w:noProof/>
          <w:color w:val="32598A"/>
          <w:sz w:val="28"/>
          <w:szCs w:val="28"/>
        </w:rPr>
      </w:pPr>
      <w:r>
        <w:rPr>
          <w:rFonts w:ascii="Tahoma" w:hAnsi="Tahoma" w:cs="Tahoma"/>
          <w:b/>
          <w:bCs/>
          <w:noProof/>
          <w:color w:val="32598A"/>
          <w:sz w:val="28"/>
          <w:szCs w:val="28"/>
        </w:rPr>
        <w:t>POSTER PRESENTATION :</w:t>
      </w:r>
    </w:p>
    <w:p w14:paraId="6972DA2C" w14:textId="5BF15448" w:rsidR="00564FBF" w:rsidRDefault="00564FBF" w:rsidP="00E0156E">
      <w:pPr>
        <w:spacing w:after="0"/>
        <w:rPr>
          <w:rFonts w:ascii="Tahoma" w:hAnsi="Tahoma" w:cs="Tahoma"/>
          <w:sz w:val="24"/>
          <w:szCs w:val="24"/>
        </w:rPr>
      </w:pPr>
      <w:r>
        <w:rPr>
          <w:rFonts w:ascii="Tahoma" w:hAnsi="Tahoma" w:cs="Tahoma"/>
          <w:sz w:val="24"/>
          <w:szCs w:val="24"/>
        </w:rPr>
        <w:t xml:space="preserve">The High Price of waiting: How delays in care escalate Hospital admissions and strains the NHS. </w:t>
      </w:r>
    </w:p>
    <w:p w14:paraId="543B2B84" w14:textId="77777777" w:rsidR="00564FBF" w:rsidRDefault="00564FBF" w:rsidP="00E0156E">
      <w:pPr>
        <w:spacing w:after="0"/>
        <w:rPr>
          <w:rFonts w:ascii="Tahoma" w:hAnsi="Tahoma" w:cs="Tahoma"/>
          <w:b/>
          <w:bCs/>
          <w:noProof/>
          <w:color w:val="32598A"/>
          <w:sz w:val="28"/>
          <w:szCs w:val="28"/>
        </w:rPr>
      </w:pPr>
    </w:p>
    <w:p w14:paraId="5CFA3287" w14:textId="2576095A" w:rsidR="003378B3" w:rsidRPr="00564FBF" w:rsidRDefault="003378B3" w:rsidP="003378B3">
      <w:pPr>
        <w:rPr>
          <w:rFonts w:ascii="Tahoma" w:hAnsi="Tahoma" w:cs="Tahoma"/>
          <w:noProof/>
          <w:sz w:val="24"/>
          <w:szCs w:val="24"/>
        </w:rPr>
      </w:pPr>
      <w:r w:rsidRPr="0073698D">
        <w:rPr>
          <w:rFonts w:ascii="Tahoma" w:hAnsi="Tahoma" w:cs="Tahoma"/>
          <w:b/>
          <w:bCs/>
          <w:noProof/>
          <w:color w:val="32598A"/>
          <w:sz w:val="28"/>
          <w:szCs w:val="28"/>
        </w:rPr>
        <w:t>Author/s:</w:t>
      </w:r>
      <w:r w:rsidR="00E0156E">
        <w:rPr>
          <w:rFonts w:ascii="Tahoma" w:hAnsi="Tahoma" w:cs="Tahoma"/>
          <w:b/>
          <w:bCs/>
          <w:noProof/>
          <w:color w:val="32598A"/>
          <w:sz w:val="28"/>
          <w:szCs w:val="28"/>
        </w:rPr>
        <w:t xml:space="preserve"> </w:t>
      </w:r>
      <w:r w:rsidR="00564FBF">
        <w:rPr>
          <w:rFonts w:ascii="Tahoma" w:hAnsi="Tahoma" w:cs="Tahoma"/>
          <w:sz w:val="24"/>
          <w:szCs w:val="24"/>
        </w:rPr>
        <w:t xml:space="preserve">Smith, </w:t>
      </w:r>
      <w:proofErr w:type="gramStart"/>
      <w:r w:rsidR="00564FBF">
        <w:rPr>
          <w:rFonts w:ascii="Tahoma" w:hAnsi="Tahoma" w:cs="Tahoma"/>
          <w:sz w:val="24"/>
          <w:szCs w:val="24"/>
        </w:rPr>
        <w:t>K</w:t>
      </w:r>
      <w:r w:rsidR="00564FBF">
        <w:rPr>
          <w:rFonts w:ascii="Tahoma" w:hAnsi="Tahoma" w:cs="Tahoma"/>
          <w:sz w:val="24"/>
          <w:szCs w:val="24"/>
          <w:vertAlign w:val="superscript"/>
        </w:rPr>
        <w:t>1</w:t>
      </w:r>
      <w:r w:rsidR="00564FBF">
        <w:rPr>
          <w:rFonts w:ascii="Tahoma" w:hAnsi="Tahoma" w:cs="Tahoma"/>
          <w:sz w:val="24"/>
          <w:szCs w:val="24"/>
        </w:rPr>
        <w:t>.,</w:t>
      </w:r>
      <w:proofErr w:type="gramEnd"/>
      <w:r w:rsidR="00564FBF">
        <w:rPr>
          <w:rFonts w:ascii="Tahoma" w:hAnsi="Tahoma" w:cs="Tahoma"/>
          <w:sz w:val="24"/>
          <w:szCs w:val="24"/>
        </w:rPr>
        <w:t xml:space="preserve"> Davies, G</w:t>
      </w:r>
      <w:r w:rsidR="00564FBF">
        <w:rPr>
          <w:rFonts w:ascii="Tahoma" w:hAnsi="Tahoma" w:cs="Tahoma"/>
          <w:sz w:val="24"/>
          <w:szCs w:val="24"/>
          <w:vertAlign w:val="superscript"/>
        </w:rPr>
        <w:t>2</w:t>
      </w:r>
      <w:r w:rsidR="00564FBF">
        <w:rPr>
          <w:rFonts w:ascii="Tahoma" w:hAnsi="Tahoma" w:cs="Tahoma"/>
          <w:sz w:val="24"/>
          <w:szCs w:val="24"/>
        </w:rPr>
        <w:t>., Lutchman-Singh, K</w:t>
      </w:r>
      <w:r w:rsidR="00564FBF">
        <w:rPr>
          <w:rFonts w:ascii="Tahoma" w:hAnsi="Tahoma" w:cs="Tahoma"/>
          <w:sz w:val="24"/>
          <w:szCs w:val="24"/>
          <w:vertAlign w:val="superscript"/>
        </w:rPr>
        <w:t>3</w:t>
      </w:r>
      <w:r w:rsidR="00564FBF">
        <w:rPr>
          <w:rFonts w:ascii="Tahoma" w:hAnsi="Tahoma" w:cs="Tahoma"/>
          <w:sz w:val="24"/>
          <w:szCs w:val="24"/>
        </w:rPr>
        <w:t>., Evans, L</w:t>
      </w:r>
      <w:r w:rsidR="00564FBF">
        <w:rPr>
          <w:rFonts w:ascii="Tahoma" w:hAnsi="Tahoma" w:cs="Tahoma"/>
          <w:sz w:val="24"/>
          <w:szCs w:val="24"/>
          <w:vertAlign w:val="superscript"/>
        </w:rPr>
        <w:t>4</w:t>
      </w:r>
      <w:r w:rsidR="00564FBF">
        <w:rPr>
          <w:rFonts w:ascii="Tahoma" w:hAnsi="Tahoma" w:cs="Tahoma"/>
          <w:sz w:val="24"/>
          <w:szCs w:val="24"/>
        </w:rPr>
        <w:t xml:space="preserve">., Goodfellow. </w:t>
      </w:r>
      <w:proofErr w:type="gramStart"/>
      <w:r w:rsidR="00564FBF">
        <w:rPr>
          <w:rFonts w:ascii="Tahoma" w:hAnsi="Tahoma" w:cs="Tahoma"/>
          <w:sz w:val="24"/>
          <w:szCs w:val="24"/>
        </w:rPr>
        <w:t>J</w:t>
      </w:r>
      <w:r w:rsidR="00564FBF">
        <w:rPr>
          <w:rFonts w:ascii="Tahoma" w:hAnsi="Tahoma" w:cs="Tahoma"/>
          <w:sz w:val="24"/>
          <w:szCs w:val="24"/>
          <w:vertAlign w:val="superscript"/>
        </w:rPr>
        <w:t>5</w:t>
      </w:r>
      <w:r w:rsidR="00564FBF">
        <w:rPr>
          <w:rFonts w:ascii="Tahoma" w:hAnsi="Tahoma" w:cs="Tahoma"/>
          <w:sz w:val="24"/>
          <w:szCs w:val="24"/>
        </w:rPr>
        <w:t>.,</w:t>
      </w:r>
      <w:proofErr w:type="gramEnd"/>
      <w:r w:rsidR="00564FBF">
        <w:rPr>
          <w:rFonts w:ascii="Tahoma" w:hAnsi="Tahoma" w:cs="Tahoma"/>
          <w:sz w:val="24"/>
          <w:szCs w:val="24"/>
        </w:rPr>
        <w:t xml:space="preserve"> Thomas, M</w:t>
      </w:r>
      <w:r w:rsidR="00564FBF">
        <w:rPr>
          <w:rFonts w:ascii="Tahoma" w:hAnsi="Tahoma" w:cs="Tahoma"/>
          <w:sz w:val="24"/>
          <w:szCs w:val="24"/>
          <w:vertAlign w:val="superscript"/>
        </w:rPr>
        <w:t>6</w:t>
      </w:r>
      <w:r w:rsidR="00564FBF">
        <w:rPr>
          <w:rFonts w:ascii="Tahoma" w:hAnsi="Tahoma" w:cs="Tahoma"/>
          <w:sz w:val="24"/>
          <w:szCs w:val="24"/>
        </w:rPr>
        <w:t>., Palmer, R</w:t>
      </w:r>
      <w:r w:rsidR="00564FBF">
        <w:rPr>
          <w:rFonts w:ascii="Tahoma" w:hAnsi="Tahoma" w:cs="Tahoma"/>
          <w:sz w:val="24"/>
          <w:szCs w:val="24"/>
          <w:vertAlign w:val="superscript"/>
        </w:rPr>
        <w:t>7</w:t>
      </w:r>
      <w:r w:rsidR="00564FBF">
        <w:rPr>
          <w:rFonts w:ascii="Tahoma" w:hAnsi="Tahoma" w:cs="Tahoma"/>
          <w:sz w:val="24"/>
          <w:szCs w:val="24"/>
        </w:rPr>
        <w:t>., Akbari, A</w:t>
      </w:r>
      <w:r w:rsidR="00564FBF">
        <w:rPr>
          <w:rFonts w:ascii="Tahoma" w:hAnsi="Tahoma" w:cs="Tahoma"/>
          <w:sz w:val="24"/>
          <w:szCs w:val="24"/>
          <w:vertAlign w:val="superscript"/>
        </w:rPr>
        <w:t>8</w:t>
      </w:r>
      <w:r w:rsidR="00564FBF">
        <w:rPr>
          <w:rFonts w:ascii="Tahoma" w:hAnsi="Tahoma" w:cs="Tahoma"/>
          <w:sz w:val="24"/>
          <w:szCs w:val="24"/>
        </w:rPr>
        <w:t>.</w:t>
      </w:r>
    </w:p>
    <w:p w14:paraId="0EF06F1D" w14:textId="5EBB4D6D" w:rsidR="0073698D" w:rsidRPr="002E7459" w:rsidRDefault="0073698D" w:rsidP="003378B3">
      <w:pPr>
        <w:rPr>
          <w:rFonts w:ascii="Tahoma" w:hAnsi="Tahoma" w:cs="Tahoma"/>
          <w:bCs/>
          <w:noProof/>
          <w:sz w:val="24"/>
          <w:szCs w:val="28"/>
        </w:rPr>
      </w:pPr>
      <w:r>
        <w:rPr>
          <w:rFonts w:ascii="Tahoma" w:hAnsi="Tahoma" w:cs="Tahoma"/>
          <w:b/>
          <w:bCs/>
          <w:noProof/>
          <w:color w:val="32598A"/>
          <w:sz w:val="28"/>
          <w:szCs w:val="28"/>
        </w:rPr>
        <w:t>Department:</w:t>
      </w:r>
      <w:r w:rsidR="00564FBF">
        <w:rPr>
          <w:rFonts w:ascii="Tahoma" w:hAnsi="Tahoma" w:cs="Tahoma"/>
          <w:b/>
          <w:bCs/>
          <w:noProof/>
          <w:color w:val="32598A"/>
          <w:sz w:val="28"/>
          <w:szCs w:val="28"/>
        </w:rPr>
        <w:t xml:space="preserve"> </w:t>
      </w:r>
      <w:r w:rsidR="00564FBF">
        <w:rPr>
          <w:rFonts w:ascii="Tahoma" w:hAnsi="Tahoma" w:cs="Tahoma"/>
          <w:bCs/>
          <w:noProof/>
          <w:sz w:val="24"/>
          <w:szCs w:val="28"/>
        </w:rPr>
        <w:t>NHS Wales – Joint Commissioning Committee</w:t>
      </w:r>
      <w:r w:rsidR="00564FBF">
        <w:rPr>
          <w:rFonts w:ascii="Tahoma" w:hAnsi="Tahoma" w:cs="Tahoma"/>
          <w:bCs/>
          <w:noProof/>
          <w:sz w:val="24"/>
          <w:szCs w:val="28"/>
          <w:vertAlign w:val="superscript"/>
        </w:rPr>
        <w:t>1</w:t>
      </w:r>
      <w:r w:rsidR="00564FBF">
        <w:rPr>
          <w:rFonts w:ascii="Tahoma" w:hAnsi="Tahoma" w:cs="Tahoma"/>
          <w:bCs/>
          <w:noProof/>
          <w:sz w:val="24"/>
          <w:szCs w:val="28"/>
        </w:rPr>
        <w:t>., Swansea University</w:t>
      </w:r>
      <w:r w:rsidR="00564FBF">
        <w:rPr>
          <w:rFonts w:ascii="Tahoma" w:hAnsi="Tahoma" w:cs="Tahoma"/>
          <w:bCs/>
          <w:noProof/>
          <w:sz w:val="24"/>
          <w:szCs w:val="28"/>
          <w:vertAlign w:val="superscript"/>
        </w:rPr>
        <w:t>2</w:t>
      </w:r>
      <w:r w:rsidR="00564FBF">
        <w:rPr>
          <w:rFonts w:ascii="Tahoma" w:hAnsi="Tahoma" w:cs="Tahoma"/>
          <w:bCs/>
          <w:noProof/>
          <w:sz w:val="24"/>
          <w:szCs w:val="28"/>
        </w:rPr>
        <w:t xml:space="preserve">., </w:t>
      </w:r>
      <w:r w:rsidR="002E7459">
        <w:rPr>
          <w:rFonts w:ascii="Tahoma" w:hAnsi="Tahoma" w:cs="Tahoma"/>
          <w:bCs/>
          <w:noProof/>
          <w:sz w:val="24"/>
          <w:szCs w:val="28"/>
        </w:rPr>
        <w:t>Joint Commissioning Committee</w:t>
      </w:r>
      <w:r w:rsidR="002E7459">
        <w:rPr>
          <w:rFonts w:ascii="Tahoma" w:hAnsi="Tahoma" w:cs="Tahoma"/>
          <w:bCs/>
          <w:noProof/>
          <w:sz w:val="24"/>
          <w:szCs w:val="28"/>
          <w:vertAlign w:val="superscript"/>
        </w:rPr>
        <w:t>3</w:t>
      </w:r>
      <w:r w:rsidR="002E7459">
        <w:rPr>
          <w:rFonts w:ascii="Tahoma" w:hAnsi="Tahoma" w:cs="Tahoma"/>
          <w:bCs/>
          <w:noProof/>
          <w:sz w:val="24"/>
          <w:szCs w:val="28"/>
        </w:rPr>
        <w:t>., NHS Wales Executive</w:t>
      </w:r>
      <w:r w:rsidR="002E7459">
        <w:rPr>
          <w:rFonts w:ascii="Tahoma" w:hAnsi="Tahoma" w:cs="Tahoma"/>
          <w:bCs/>
          <w:noProof/>
          <w:sz w:val="24"/>
          <w:szCs w:val="28"/>
          <w:vertAlign w:val="superscript"/>
        </w:rPr>
        <w:t>4</w:t>
      </w:r>
      <w:r w:rsidR="002E7459">
        <w:rPr>
          <w:rFonts w:ascii="Tahoma" w:hAnsi="Tahoma" w:cs="Tahoma"/>
          <w:bCs/>
          <w:noProof/>
          <w:sz w:val="24"/>
          <w:szCs w:val="28"/>
        </w:rPr>
        <w:t>., NHS Executive</w:t>
      </w:r>
      <w:r w:rsidR="002E7459">
        <w:rPr>
          <w:rFonts w:ascii="Tahoma" w:hAnsi="Tahoma" w:cs="Tahoma"/>
          <w:bCs/>
          <w:noProof/>
          <w:sz w:val="24"/>
          <w:szCs w:val="28"/>
          <w:vertAlign w:val="superscript"/>
        </w:rPr>
        <w:t>5</w:t>
      </w:r>
      <w:r w:rsidR="002E7459">
        <w:rPr>
          <w:rFonts w:ascii="Tahoma" w:hAnsi="Tahoma" w:cs="Tahoma"/>
          <w:bCs/>
          <w:noProof/>
          <w:sz w:val="24"/>
          <w:szCs w:val="28"/>
        </w:rPr>
        <w:t>., Hywel Dda University Health Board</w:t>
      </w:r>
      <w:r w:rsidR="002E7459">
        <w:rPr>
          <w:rFonts w:ascii="Tahoma" w:hAnsi="Tahoma" w:cs="Tahoma"/>
          <w:bCs/>
          <w:noProof/>
          <w:sz w:val="24"/>
          <w:szCs w:val="28"/>
          <w:vertAlign w:val="superscript"/>
        </w:rPr>
        <w:t>6</w:t>
      </w:r>
      <w:r w:rsidR="002E7459">
        <w:rPr>
          <w:rFonts w:ascii="Tahoma" w:hAnsi="Tahoma" w:cs="Tahoma"/>
          <w:bCs/>
          <w:noProof/>
          <w:sz w:val="24"/>
          <w:szCs w:val="28"/>
        </w:rPr>
        <w:t>., Joint Commissioning Committee</w:t>
      </w:r>
      <w:r w:rsidR="002E7459">
        <w:rPr>
          <w:rFonts w:ascii="Tahoma" w:hAnsi="Tahoma" w:cs="Tahoma"/>
          <w:bCs/>
          <w:noProof/>
          <w:sz w:val="24"/>
          <w:szCs w:val="28"/>
          <w:vertAlign w:val="superscript"/>
        </w:rPr>
        <w:t>7</w:t>
      </w:r>
      <w:r w:rsidR="002E7459">
        <w:rPr>
          <w:rFonts w:ascii="Tahoma" w:hAnsi="Tahoma" w:cs="Tahoma"/>
          <w:bCs/>
          <w:noProof/>
          <w:sz w:val="24"/>
          <w:szCs w:val="28"/>
        </w:rPr>
        <w:t>., Swansea University</w:t>
      </w:r>
      <w:r w:rsidR="002E7459">
        <w:rPr>
          <w:rFonts w:ascii="Tahoma" w:hAnsi="Tahoma" w:cs="Tahoma"/>
          <w:bCs/>
          <w:noProof/>
          <w:sz w:val="24"/>
          <w:szCs w:val="28"/>
          <w:vertAlign w:val="superscript"/>
        </w:rPr>
        <w:t>8</w:t>
      </w:r>
      <w:r w:rsidR="002E7459">
        <w:rPr>
          <w:rFonts w:ascii="Tahoma" w:hAnsi="Tahoma" w:cs="Tahoma"/>
          <w:bCs/>
          <w:noProof/>
          <w:sz w:val="24"/>
          <w:szCs w:val="28"/>
        </w:rPr>
        <w:t>.</w:t>
      </w:r>
    </w:p>
    <w:p w14:paraId="5C2DF48A" w14:textId="77777777" w:rsidR="001D73FB" w:rsidRPr="00101A21" w:rsidRDefault="001D73FB" w:rsidP="001D73FB">
      <w:pPr>
        <w:shd w:val="clear" w:color="auto" w:fill="32598A"/>
        <w:rPr>
          <w:color w:val="0066CC"/>
        </w:rPr>
      </w:pPr>
    </w:p>
    <w:p w14:paraId="59EAAD75" w14:textId="77777777" w:rsidR="002E7459" w:rsidRDefault="001D73FB" w:rsidP="001D73FB">
      <w:pPr>
        <w:rPr>
          <w:rFonts w:ascii="Tahoma" w:hAnsi="Tahoma" w:cs="Tahoma"/>
          <w:b/>
          <w:bCs/>
          <w:sz w:val="24"/>
          <w:szCs w:val="24"/>
        </w:rPr>
      </w:pPr>
      <w:r>
        <w:rPr>
          <w:rFonts w:ascii="Tahoma" w:hAnsi="Tahoma" w:cs="Tahoma"/>
          <w:b/>
          <w:bCs/>
          <w:sz w:val="24"/>
          <w:szCs w:val="24"/>
        </w:rPr>
        <w:t>Introduction:</w:t>
      </w:r>
    </w:p>
    <w:p w14:paraId="639FD591" w14:textId="5959825A" w:rsidR="002E7459" w:rsidRDefault="002E7459" w:rsidP="001D73FB">
      <w:pPr>
        <w:rPr>
          <w:rFonts w:ascii="Tahoma" w:hAnsi="Tahoma" w:cs="Tahoma"/>
          <w:b/>
          <w:bCs/>
          <w:sz w:val="24"/>
          <w:szCs w:val="24"/>
        </w:rPr>
      </w:pPr>
      <w:r>
        <w:rPr>
          <w:rFonts w:ascii="Tahoma" w:hAnsi="Tahoma" w:cs="Tahoma"/>
          <w:sz w:val="24"/>
          <w:szCs w:val="28"/>
        </w:rPr>
        <w:t xml:space="preserve">The </w:t>
      </w:r>
      <w:r>
        <w:rPr>
          <w:rFonts w:ascii="Tahoma" w:hAnsi="Tahoma" w:cs="Tahoma"/>
          <w:sz w:val="24"/>
          <w:szCs w:val="28"/>
        </w:rPr>
        <w:t xml:space="preserve">seven Health Boards in Wales were interested in finding out how their investment in the Joint Commissioning Committee (JCC), who commission specialist services for the Welsh population, helps their local population.  The JCC therefore wanted to develop a way of measuring the benefits, in terms of reduced health resource usage, that specialised intervention accrue to the Health Board’s population.  At the same </w:t>
      </w:r>
      <w:proofErr w:type="gramStart"/>
      <w:r>
        <w:rPr>
          <w:rFonts w:ascii="Tahoma" w:hAnsi="Tahoma" w:cs="Tahoma"/>
          <w:sz w:val="24"/>
          <w:szCs w:val="28"/>
        </w:rPr>
        <w:t>time</w:t>
      </w:r>
      <w:proofErr w:type="gramEnd"/>
      <w:r>
        <w:rPr>
          <w:rFonts w:ascii="Tahoma" w:hAnsi="Tahoma" w:cs="Tahoma"/>
          <w:sz w:val="24"/>
          <w:szCs w:val="28"/>
        </w:rPr>
        <w:t xml:space="preserve"> JCC wanted to assess whether the lack of access to services earlier on in the patients pathway affected subsequent patient treatment cost</w:t>
      </w:r>
    </w:p>
    <w:p w14:paraId="7348F163" w14:textId="3AB23B84" w:rsidR="001D73FB" w:rsidRDefault="001D73FB" w:rsidP="00EF0E17">
      <w:pPr>
        <w:spacing w:after="0"/>
        <w:rPr>
          <w:rFonts w:ascii="Tahoma" w:hAnsi="Tahoma" w:cs="Tahoma"/>
          <w:b/>
          <w:bCs/>
          <w:sz w:val="24"/>
          <w:szCs w:val="24"/>
        </w:rPr>
      </w:pPr>
      <w:r>
        <w:rPr>
          <w:rFonts w:ascii="Tahoma" w:hAnsi="Tahoma" w:cs="Tahoma"/>
          <w:b/>
          <w:bCs/>
          <w:sz w:val="24"/>
          <w:szCs w:val="24"/>
        </w:rPr>
        <w:t>Aim:</w:t>
      </w:r>
    </w:p>
    <w:p w14:paraId="7CF98183" w14:textId="588E00A7" w:rsidR="002E7459" w:rsidRDefault="002E7459" w:rsidP="00EF0E17">
      <w:pPr>
        <w:spacing w:after="0"/>
        <w:rPr>
          <w:rFonts w:ascii="Tahoma" w:hAnsi="Tahoma" w:cs="Tahoma"/>
          <w:b/>
          <w:bCs/>
          <w:sz w:val="24"/>
          <w:szCs w:val="24"/>
        </w:rPr>
      </w:pPr>
      <w:r>
        <w:rPr>
          <w:rFonts w:ascii="Tahoma" w:hAnsi="Tahoma" w:cs="Tahoma"/>
          <w:bCs/>
          <w:sz w:val="24"/>
          <w:szCs w:val="24"/>
        </w:rPr>
        <w:t xml:space="preserve">The purpose of the project was firstly to develop a standard value-based approach that </w:t>
      </w:r>
      <w:proofErr w:type="gramStart"/>
      <w:r>
        <w:rPr>
          <w:rFonts w:ascii="Tahoma" w:hAnsi="Tahoma" w:cs="Tahoma"/>
          <w:bCs/>
          <w:sz w:val="24"/>
          <w:szCs w:val="24"/>
        </w:rPr>
        <w:t>could be used</w:t>
      </w:r>
      <w:proofErr w:type="gramEnd"/>
      <w:r>
        <w:rPr>
          <w:rFonts w:ascii="Tahoma" w:hAnsi="Tahoma" w:cs="Tahoma"/>
          <w:bCs/>
          <w:sz w:val="24"/>
          <w:szCs w:val="24"/>
        </w:rPr>
        <w:t xml:space="preserve"> to measure the effectiveness of specific interventions and, secondly to assess whether there is significant variation in access to Health Services across all settings at each stage of the patient pathway. </w:t>
      </w:r>
    </w:p>
    <w:p w14:paraId="15DFCABF" w14:textId="4E18A95A" w:rsidR="002E7459" w:rsidRPr="002E7459" w:rsidRDefault="002E7459" w:rsidP="00EF0E17">
      <w:pPr>
        <w:spacing w:after="0"/>
        <w:rPr>
          <w:rFonts w:ascii="Tahoma" w:hAnsi="Tahoma" w:cs="Tahoma"/>
          <w:bCs/>
          <w:sz w:val="24"/>
          <w:szCs w:val="24"/>
        </w:rPr>
      </w:pPr>
    </w:p>
    <w:p w14:paraId="4F0C03D1" w14:textId="104C5553" w:rsidR="001D73FB" w:rsidRDefault="001D73FB" w:rsidP="00EF0E17">
      <w:pPr>
        <w:spacing w:after="0"/>
        <w:rPr>
          <w:rFonts w:ascii="Tahoma" w:hAnsi="Tahoma" w:cs="Tahoma"/>
          <w:b/>
          <w:bCs/>
          <w:sz w:val="24"/>
          <w:szCs w:val="24"/>
        </w:rPr>
      </w:pPr>
      <w:r>
        <w:rPr>
          <w:rFonts w:ascii="Tahoma" w:hAnsi="Tahoma" w:cs="Tahoma"/>
          <w:b/>
          <w:bCs/>
          <w:sz w:val="24"/>
          <w:szCs w:val="24"/>
        </w:rPr>
        <w:t>Methodology</w:t>
      </w:r>
      <w:r w:rsidR="00EF0E17">
        <w:rPr>
          <w:rFonts w:ascii="Tahoma" w:hAnsi="Tahoma" w:cs="Tahoma"/>
          <w:b/>
          <w:bCs/>
          <w:sz w:val="24"/>
          <w:szCs w:val="24"/>
        </w:rPr>
        <w:t>:</w:t>
      </w:r>
    </w:p>
    <w:p w14:paraId="41CCDAF5" w14:textId="758B9792" w:rsidR="00312351" w:rsidRDefault="002E7459" w:rsidP="00EF0E17">
      <w:pPr>
        <w:spacing w:after="0"/>
        <w:rPr>
          <w:rFonts w:ascii="Tahoma" w:hAnsi="Tahoma" w:cs="Tahoma"/>
          <w:sz w:val="24"/>
          <w:szCs w:val="28"/>
        </w:rPr>
      </w:pPr>
      <w:r>
        <w:rPr>
          <w:rFonts w:ascii="Tahoma" w:hAnsi="Tahoma" w:cs="Tahoma"/>
          <w:sz w:val="24"/>
          <w:szCs w:val="28"/>
        </w:rPr>
        <w:t xml:space="preserve">Each </w:t>
      </w:r>
      <w:r w:rsidRPr="000B4C1A">
        <w:rPr>
          <w:rFonts w:ascii="Tahoma" w:hAnsi="Tahoma" w:cs="Tahoma"/>
          <w:sz w:val="24"/>
          <w:szCs w:val="28"/>
        </w:rPr>
        <w:t xml:space="preserve">Coronary Heart disease patient </w:t>
      </w:r>
      <w:proofErr w:type="gramStart"/>
      <w:r w:rsidRPr="000B4C1A">
        <w:rPr>
          <w:rFonts w:ascii="Tahoma" w:hAnsi="Tahoma" w:cs="Tahoma"/>
          <w:sz w:val="24"/>
          <w:szCs w:val="28"/>
        </w:rPr>
        <w:t>was followed</w:t>
      </w:r>
      <w:proofErr w:type="gramEnd"/>
      <w:r w:rsidRPr="000B4C1A">
        <w:rPr>
          <w:rFonts w:ascii="Tahoma" w:hAnsi="Tahoma" w:cs="Tahoma"/>
          <w:sz w:val="24"/>
          <w:szCs w:val="28"/>
        </w:rPr>
        <w:t xml:space="preserve"> up for between 1 to 5 years after their first event for their condition related health events. The study utilised the Secure Anonymised Information Linkages (SAIL) database in Swansea so included primary care contacts.  The study period was 2015 -2019 (to avo</w:t>
      </w:r>
      <w:r>
        <w:rPr>
          <w:rFonts w:ascii="Tahoma" w:hAnsi="Tahoma" w:cs="Tahoma"/>
          <w:sz w:val="24"/>
          <w:szCs w:val="28"/>
        </w:rPr>
        <w:t xml:space="preserve">id the pandemic complications). </w:t>
      </w:r>
      <w:r w:rsidRPr="000B4C1A">
        <w:rPr>
          <w:rFonts w:ascii="Tahoma" w:hAnsi="Tahoma" w:cs="Tahoma"/>
          <w:sz w:val="24"/>
          <w:szCs w:val="28"/>
        </w:rPr>
        <w:t>Each patient was categorised based on the first event in the study period</w:t>
      </w:r>
      <w:proofErr w:type="gramStart"/>
      <w:r w:rsidRPr="000B4C1A">
        <w:rPr>
          <w:rFonts w:ascii="Tahoma" w:hAnsi="Tahoma" w:cs="Tahoma"/>
          <w:sz w:val="24"/>
          <w:szCs w:val="28"/>
        </w:rPr>
        <w:t>;</w:t>
      </w:r>
      <w:proofErr w:type="gramEnd"/>
      <w:r w:rsidRPr="000B4C1A">
        <w:rPr>
          <w:rFonts w:ascii="Tahoma" w:hAnsi="Tahoma" w:cs="Tahoma"/>
          <w:sz w:val="24"/>
          <w:szCs w:val="28"/>
        </w:rPr>
        <w:t xml:space="preserve"> whether in a planned setting or an emergency</w:t>
      </w:r>
      <w:r>
        <w:rPr>
          <w:rFonts w:ascii="Tahoma" w:hAnsi="Tahoma" w:cs="Tahoma"/>
          <w:sz w:val="24"/>
          <w:szCs w:val="28"/>
        </w:rPr>
        <w:t xml:space="preserve"> </w:t>
      </w:r>
      <w:r w:rsidRPr="000B4C1A">
        <w:rPr>
          <w:rFonts w:ascii="Tahoma" w:hAnsi="Tahoma" w:cs="Tahoma"/>
          <w:sz w:val="24"/>
          <w:szCs w:val="28"/>
        </w:rPr>
        <w:t>setting. GP contacts, outpa</w:t>
      </w:r>
      <w:r>
        <w:rPr>
          <w:rFonts w:ascii="Tahoma" w:hAnsi="Tahoma" w:cs="Tahoma"/>
          <w:sz w:val="24"/>
          <w:szCs w:val="28"/>
        </w:rPr>
        <w:t xml:space="preserve">tients and elective inpatients were </w:t>
      </w:r>
      <w:r w:rsidRPr="000B4C1A">
        <w:rPr>
          <w:rFonts w:ascii="Tahoma" w:hAnsi="Tahoma" w:cs="Tahoma"/>
          <w:sz w:val="24"/>
          <w:szCs w:val="28"/>
        </w:rPr>
        <w:t>categor</w:t>
      </w:r>
      <w:r>
        <w:rPr>
          <w:rFonts w:ascii="Tahoma" w:hAnsi="Tahoma" w:cs="Tahoma"/>
          <w:sz w:val="24"/>
          <w:szCs w:val="28"/>
        </w:rPr>
        <w:t xml:space="preserve">ised as pro-active (elective / planned): </w:t>
      </w:r>
      <w:r w:rsidRPr="000B4C1A">
        <w:rPr>
          <w:rFonts w:ascii="Tahoma" w:hAnsi="Tahoma" w:cs="Tahoma"/>
          <w:sz w:val="24"/>
          <w:szCs w:val="28"/>
        </w:rPr>
        <w:t xml:space="preserve">Emergency admissions and A&amp;E attendances </w:t>
      </w:r>
      <w:proofErr w:type="gramStart"/>
      <w:r w:rsidRPr="000B4C1A">
        <w:rPr>
          <w:rFonts w:ascii="Tahoma" w:hAnsi="Tahoma" w:cs="Tahoma"/>
          <w:sz w:val="24"/>
          <w:szCs w:val="28"/>
        </w:rPr>
        <w:t>are defined</w:t>
      </w:r>
      <w:proofErr w:type="gramEnd"/>
      <w:r w:rsidRPr="000B4C1A">
        <w:rPr>
          <w:rFonts w:ascii="Tahoma" w:hAnsi="Tahoma" w:cs="Tahoma"/>
          <w:sz w:val="24"/>
          <w:szCs w:val="28"/>
        </w:rPr>
        <w:t xml:space="preserve"> as re-active (</w:t>
      </w:r>
      <w:r>
        <w:rPr>
          <w:rFonts w:ascii="Tahoma" w:hAnsi="Tahoma" w:cs="Tahoma"/>
          <w:sz w:val="24"/>
          <w:szCs w:val="28"/>
        </w:rPr>
        <w:t>non-elective /</w:t>
      </w:r>
      <w:r w:rsidRPr="000B4C1A">
        <w:rPr>
          <w:rFonts w:ascii="Tahoma" w:hAnsi="Tahoma" w:cs="Tahoma"/>
          <w:sz w:val="24"/>
          <w:szCs w:val="28"/>
        </w:rPr>
        <w:t xml:space="preserve"> emergency). A total number of events </w:t>
      </w:r>
      <w:proofErr w:type="gramStart"/>
      <w:r w:rsidRPr="000B4C1A">
        <w:rPr>
          <w:rFonts w:ascii="Tahoma" w:hAnsi="Tahoma" w:cs="Tahoma"/>
          <w:sz w:val="24"/>
          <w:szCs w:val="28"/>
        </w:rPr>
        <w:t>was calculated</w:t>
      </w:r>
      <w:proofErr w:type="gramEnd"/>
      <w:r w:rsidRPr="000B4C1A">
        <w:rPr>
          <w:rFonts w:ascii="Tahoma" w:hAnsi="Tahoma" w:cs="Tahoma"/>
          <w:sz w:val="24"/>
          <w:szCs w:val="28"/>
        </w:rPr>
        <w:t xml:space="preserve"> for the patients: the timeline may be for 5 years (2015) for some bu</w:t>
      </w:r>
      <w:r>
        <w:rPr>
          <w:rFonts w:ascii="Tahoma" w:hAnsi="Tahoma" w:cs="Tahoma"/>
          <w:sz w:val="24"/>
          <w:szCs w:val="28"/>
        </w:rPr>
        <w:t xml:space="preserve">t the minimum would be 1 year. </w:t>
      </w:r>
      <w:bookmarkStart w:id="0" w:name="_GoBack"/>
      <w:bookmarkEnd w:id="0"/>
      <w:r w:rsidRPr="000B4C1A">
        <w:rPr>
          <w:rFonts w:ascii="Tahoma" w:hAnsi="Tahoma" w:cs="Tahoma"/>
          <w:sz w:val="24"/>
          <w:szCs w:val="28"/>
        </w:rPr>
        <w:t xml:space="preserve">These events </w:t>
      </w:r>
      <w:proofErr w:type="gramStart"/>
      <w:r w:rsidRPr="000B4C1A">
        <w:rPr>
          <w:rFonts w:ascii="Tahoma" w:hAnsi="Tahoma" w:cs="Tahoma"/>
          <w:sz w:val="24"/>
          <w:szCs w:val="28"/>
        </w:rPr>
        <w:t>were changed</w:t>
      </w:r>
      <w:proofErr w:type="gramEnd"/>
      <w:r w:rsidRPr="000B4C1A">
        <w:rPr>
          <w:rFonts w:ascii="Tahoma" w:hAnsi="Tahoma" w:cs="Tahoma"/>
          <w:sz w:val="24"/>
          <w:szCs w:val="28"/>
        </w:rPr>
        <w:t xml:space="preserve"> into an annualised rate.  All events after the first event were categorise and a standard cost applied as follows: £398 per bed day, £143 per outpatient appointment, £188 per A&amp;E attendance and £36 per GP visit. This creates an annualised costs (event x cost) for each patient in the study period.</w:t>
      </w:r>
    </w:p>
    <w:p w14:paraId="3A7E26FE" w14:textId="14AAADA0" w:rsidR="002E7459" w:rsidRDefault="002E7459" w:rsidP="00EF0E17">
      <w:pPr>
        <w:spacing w:after="0"/>
        <w:rPr>
          <w:rFonts w:ascii="Tahoma" w:hAnsi="Tahoma" w:cs="Tahoma"/>
          <w:sz w:val="24"/>
          <w:szCs w:val="28"/>
        </w:rPr>
      </w:pPr>
    </w:p>
    <w:p w14:paraId="72D3944F" w14:textId="77777777" w:rsidR="002E7459" w:rsidRDefault="002E7459" w:rsidP="00EF0E17">
      <w:pPr>
        <w:spacing w:after="0"/>
        <w:rPr>
          <w:rFonts w:ascii="Tahoma" w:hAnsi="Tahoma" w:cs="Tahoma"/>
          <w:sz w:val="24"/>
          <w:szCs w:val="28"/>
        </w:rPr>
      </w:pPr>
    </w:p>
    <w:p w14:paraId="5498ED39" w14:textId="77777777" w:rsidR="002E7459" w:rsidRPr="00312351" w:rsidRDefault="002E7459" w:rsidP="00EF0E17">
      <w:pPr>
        <w:spacing w:after="0"/>
        <w:rPr>
          <w:rFonts w:ascii="Tahoma" w:hAnsi="Tahoma" w:cs="Tahoma"/>
          <w:sz w:val="24"/>
          <w:szCs w:val="24"/>
        </w:rPr>
      </w:pPr>
    </w:p>
    <w:p w14:paraId="335C0979" w14:textId="35AD86D8" w:rsidR="001D73FB" w:rsidRDefault="001D73FB" w:rsidP="002E7459">
      <w:pPr>
        <w:tabs>
          <w:tab w:val="left" w:pos="2055"/>
        </w:tabs>
        <w:spacing w:after="0"/>
        <w:rPr>
          <w:rFonts w:ascii="Tahoma" w:hAnsi="Tahoma" w:cs="Tahoma"/>
          <w:b/>
          <w:bCs/>
          <w:sz w:val="24"/>
          <w:szCs w:val="24"/>
        </w:rPr>
      </w:pPr>
      <w:r>
        <w:rPr>
          <w:rFonts w:ascii="Tahoma" w:hAnsi="Tahoma" w:cs="Tahoma"/>
          <w:b/>
          <w:bCs/>
          <w:sz w:val="24"/>
          <w:szCs w:val="24"/>
        </w:rPr>
        <w:lastRenderedPageBreak/>
        <w:t>Results:</w:t>
      </w:r>
      <w:r w:rsidR="002E7459">
        <w:rPr>
          <w:rFonts w:ascii="Tahoma" w:hAnsi="Tahoma" w:cs="Tahoma"/>
          <w:b/>
          <w:bCs/>
          <w:sz w:val="24"/>
          <w:szCs w:val="24"/>
        </w:rPr>
        <w:tab/>
      </w:r>
    </w:p>
    <w:p w14:paraId="1C2118A5" w14:textId="13472C54" w:rsidR="002E7459" w:rsidRDefault="002E7459" w:rsidP="002E7459">
      <w:pPr>
        <w:tabs>
          <w:tab w:val="left" w:pos="2055"/>
        </w:tabs>
        <w:spacing w:after="0"/>
        <w:rPr>
          <w:rFonts w:ascii="Tahoma" w:hAnsi="Tahoma" w:cs="Tahoma"/>
          <w:sz w:val="24"/>
          <w:szCs w:val="28"/>
        </w:rPr>
      </w:pPr>
      <w:r>
        <w:rPr>
          <w:rFonts w:ascii="Tahoma" w:hAnsi="Tahoma" w:cs="Tahoma"/>
          <w:sz w:val="24"/>
          <w:szCs w:val="28"/>
        </w:rPr>
        <w:t>The t</w:t>
      </w:r>
      <w:r>
        <w:rPr>
          <w:rFonts w:ascii="Tahoma" w:hAnsi="Tahoma" w:cs="Tahoma"/>
          <w:sz w:val="24"/>
          <w:szCs w:val="28"/>
        </w:rPr>
        <w:t>otal events are 3</w:t>
      </w:r>
      <w:r w:rsidRPr="00265CD8">
        <w:rPr>
          <w:rFonts w:ascii="Tahoma" w:hAnsi="Tahoma" w:cs="Tahoma"/>
          <w:sz w:val="24"/>
          <w:szCs w:val="28"/>
        </w:rPr>
        <w:t xml:space="preserve"> times greater when the first contact is in a reactive setting.  </w:t>
      </w:r>
      <w:r>
        <w:rPr>
          <w:rFonts w:ascii="Tahoma" w:hAnsi="Tahoma" w:cs="Tahoma"/>
          <w:sz w:val="24"/>
          <w:szCs w:val="28"/>
        </w:rPr>
        <w:t xml:space="preserve">After applying a standard cost to each setting, </w:t>
      </w:r>
      <w:r w:rsidRPr="00265CD8">
        <w:rPr>
          <w:rFonts w:ascii="Tahoma" w:hAnsi="Tahoma" w:cs="Tahoma"/>
          <w:sz w:val="24"/>
          <w:szCs w:val="28"/>
        </w:rPr>
        <w:t>cost</w:t>
      </w:r>
      <w:r>
        <w:rPr>
          <w:rFonts w:ascii="Tahoma" w:hAnsi="Tahoma" w:cs="Tahoma"/>
          <w:sz w:val="24"/>
          <w:szCs w:val="28"/>
        </w:rPr>
        <w:t>s are</w:t>
      </w:r>
      <w:r w:rsidRPr="00265CD8">
        <w:rPr>
          <w:rFonts w:ascii="Tahoma" w:hAnsi="Tahoma" w:cs="Tahoma"/>
          <w:sz w:val="24"/>
          <w:szCs w:val="28"/>
        </w:rPr>
        <w:t xml:space="preserve"> 14 times more expensive when the first contact is in a reactive setting.  </w:t>
      </w:r>
      <w:r>
        <w:rPr>
          <w:rFonts w:ascii="Tahoma" w:hAnsi="Tahoma" w:cs="Tahoma"/>
          <w:sz w:val="24"/>
          <w:szCs w:val="28"/>
        </w:rPr>
        <w:t xml:space="preserve">A regression analysis </w:t>
      </w:r>
      <w:proofErr w:type="gramStart"/>
      <w:r>
        <w:rPr>
          <w:rFonts w:ascii="Tahoma" w:hAnsi="Tahoma" w:cs="Tahoma"/>
          <w:sz w:val="24"/>
          <w:szCs w:val="28"/>
        </w:rPr>
        <w:t>was carried</w:t>
      </w:r>
      <w:proofErr w:type="gramEnd"/>
      <w:r>
        <w:rPr>
          <w:rFonts w:ascii="Tahoma" w:hAnsi="Tahoma" w:cs="Tahoma"/>
          <w:sz w:val="24"/>
          <w:szCs w:val="28"/>
        </w:rPr>
        <w:t xml:space="preserve"> out showing how each variable affected annualised costs and an odds ratio analysis showing how each factor affected the likelihood of the first event being in an emergency setting.  These </w:t>
      </w:r>
      <w:proofErr w:type="gramStart"/>
      <w:r>
        <w:rPr>
          <w:rFonts w:ascii="Tahoma" w:hAnsi="Tahoma" w:cs="Tahoma"/>
          <w:sz w:val="24"/>
          <w:szCs w:val="28"/>
        </w:rPr>
        <w:t>are shown</w:t>
      </w:r>
      <w:proofErr w:type="gramEnd"/>
      <w:r>
        <w:rPr>
          <w:rFonts w:ascii="Tahoma" w:hAnsi="Tahoma" w:cs="Tahoma"/>
          <w:sz w:val="24"/>
          <w:szCs w:val="28"/>
        </w:rPr>
        <w:t xml:space="preserve"> below.</w:t>
      </w:r>
    </w:p>
    <w:p w14:paraId="7A3D0CE7" w14:textId="12BFA485" w:rsidR="002E7459" w:rsidRDefault="002E7459" w:rsidP="002E7459">
      <w:pPr>
        <w:tabs>
          <w:tab w:val="left" w:pos="2055"/>
        </w:tabs>
        <w:spacing w:after="0"/>
        <w:rPr>
          <w:rFonts w:ascii="Tahoma" w:hAnsi="Tahoma" w:cs="Tahoma"/>
          <w:sz w:val="24"/>
          <w:szCs w:val="28"/>
        </w:rPr>
      </w:pPr>
      <w:r w:rsidRPr="00265CD8">
        <w:rPr>
          <w:noProof/>
          <w:lang w:eastAsia="en-GB"/>
        </w:rPr>
        <w:drawing>
          <wp:anchor distT="0" distB="0" distL="114300" distR="114300" simplePos="0" relativeHeight="251660288" behindDoc="1" locked="0" layoutInCell="1" allowOverlap="1" wp14:anchorId="5F122B98" wp14:editId="06A5232D">
            <wp:simplePos x="0" y="0"/>
            <wp:positionH relativeFrom="page">
              <wp:align>center</wp:align>
            </wp:positionH>
            <wp:positionV relativeFrom="paragraph">
              <wp:posOffset>68580</wp:posOffset>
            </wp:positionV>
            <wp:extent cx="4996932" cy="5095875"/>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5">
                      <a:extLst>
                        <a:ext uri="{28A0092B-C50C-407E-A947-70E740481C1C}">
                          <a14:useLocalDpi xmlns:a14="http://schemas.microsoft.com/office/drawing/2010/main" val="0"/>
                        </a:ext>
                      </a:extLst>
                    </a:blip>
                    <a:srcRect t="1926"/>
                    <a:stretch/>
                  </pic:blipFill>
                  <pic:spPr bwMode="auto">
                    <a:xfrm>
                      <a:off x="0" y="0"/>
                      <a:ext cx="4996932" cy="509587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0B491846" w14:textId="48B63FF0" w:rsidR="002E7459" w:rsidRDefault="002E7459" w:rsidP="002E7459">
      <w:pPr>
        <w:tabs>
          <w:tab w:val="left" w:pos="2055"/>
        </w:tabs>
        <w:spacing w:after="0"/>
        <w:rPr>
          <w:rFonts w:ascii="Tahoma" w:hAnsi="Tahoma" w:cs="Tahoma"/>
          <w:sz w:val="24"/>
          <w:szCs w:val="28"/>
        </w:rPr>
      </w:pPr>
    </w:p>
    <w:p w14:paraId="6CBC3101" w14:textId="77777777" w:rsidR="002E7459" w:rsidRDefault="002E7459" w:rsidP="002E7459">
      <w:pPr>
        <w:tabs>
          <w:tab w:val="left" w:pos="2055"/>
        </w:tabs>
        <w:spacing w:after="0"/>
        <w:rPr>
          <w:rFonts w:ascii="Tahoma" w:hAnsi="Tahoma" w:cs="Tahoma"/>
          <w:sz w:val="24"/>
          <w:szCs w:val="28"/>
        </w:rPr>
      </w:pPr>
    </w:p>
    <w:p w14:paraId="3EDF11A1" w14:textId="77777777" w:rsidR="002E7459" w:rsidRDefault="002E7459" w:rsidP="002E7459">
      <w:pPr>
        <w:tabs>
          <w:tab w:val="left" w:pos="2055"/>
        </w:tabs>
        <w:spacing w:after="0"/>
        <w:rPr>
          <w:rFonts w:ascii="Tahoma" w:hAnsi="Tahoma" w:cs="Tahoma"/>
          <w:sz w:val="24"/>
          <w:szCs w:val="28"/>
        </w:rPr>
      </w:pPr>
    </w:p>
    <w:p w14:paraId="328619F8" w14:textId="77777777" w:rsidR="002E7459" w:rsidRDefault="002E7459" w:rsidP="002E7459">
      <w:pPr>
        <w:tabs>
          <w:tab w:val="left" w:pos="2055"/>
        </w:tabs>
        <w:spacing w:after="0"/>
        <w:rPr>
          <w:rFonts w:ascii="Tahoma" w:hAnsi="Tahoma" w:cs="Tahoma"/>
          <w:sz w:val="24"/>
          <w:szCs w:val="28"/>
        </w:rPr>
      </w:pPr>
    </w:p>
    <w:p w14:paraId="3BC8B7C8" w14:textId="77777777" w:rsidR="002E7459" w:rsidRDefault="002E7459" w:rsidP="002E7459">
      <w:pPr>
        <w:tabs>
          <w:tab w:val="left" w:pos="2055"/>
        </w:tabs>
        <w:spacing w:after="0"/>
        <w:rPr>
          <w:rFonts w:ascii="Tahoma" w:hAnsi="Tahoma" w:cs="Tahoma"/>
          <w:sz w:val="24"/>
          <w:szCs w:val="28"/>
        </w:rPr>
      </w:pPr>
    </w:p>
    <w:p w14:paraId="7C030486" w14:textId="77777777" w:rsidR="002E7459" w:rsidRDefault="002E7459" w:rsidP="002E7459">
      <w:pPr>
        <w:tabs>
          <w:tab w:val="left" w:pos="2055"/>
        </w:tabs>
        <w:spacing w:after="0"/>
        <w:rPr>
          <w:rFonts w:ascii="Tahoma" w:hAnsi="Tahoma" w:cs="Tahoma"/>
          <w:sz w:val="24"/>
          <w:szCs w:val="28"/>
        </w:rPr>
      </w:pPr>
    </w:p>
    <w:p w14:paraId="71CB0B4D" w14:textId="77777777" w:rsidR="002E7459" w:rsidRDefault="002E7459" w:rsidP="002E7459">
      <w:pPr>
        <w:tabs>
          <w:tab w:val="left" w:pos="2055"/>
        </w:tabs>
        <w:spacing w:after="0"/>
        <w:rPr>
          <w:rFonts w:ascii="Tahoma" w:hAnsi="Tahoma" w:cs="Tahoma"/>
          <w:sz w:val="24"/>
          <w:szCs w:val="28"/>
        </w:rPr>
      </w:pPr>
    </w:p>
    <w:p w14:paraId="0778298D" w14:textId="77777777" w:rsidR="002E7459" w:rsidRDefault="002E7459" w:rsidP="002E7459">
      <w:pPr>
        <w:tabs>
          <w:tab w:val="left" w:pos="2055"/>
        </w:tabs>
        <w:spacing w:after="0"/>
        <w:rPr>
          <w:rFonts w:ascii="Tahoma" w:hAnsi="Tahoma" w:cs="Tahoma"/>
          <w:sz w:val="24"/>
          <w:szCs w:val="28"/>
        </w:rPr>
      </w:pPr>
    </w:p>
    <w:p w14:paraId="25B50324" w14:textId="77777777" w:rsidR="002E7459" w:rsidRDefault="002E7459" w:rsidP="002E7459">
      <w:pPr>
        <w:tabs>
          <w:tab w:val="left" w:pos="2055"/>
        </w:tabs>
        <w:spacing w:after="0"/>
        <w:jc w:val="center"/>
        <w:rPr>
          <w:rFonts w:ascii="Tahoma" w:hAnsi="Tahoma" w:cs="Tahoma"/>
          <w:sz w:val="24"/>
          <w:szCs w:val="28"/>
        </w:rPr>
      </w:pPr>
    </w:p>
    <w:p w14:paraId="2060D54C" w14:textId="77777777" w:rsidR="002E7459" w:rsidRDefault="002E7459" w:rsidP="002E7459">
      <w:pPr>
        <w:tabs>
          <w:tab w:val="left" w:pos="2055"/>
        </w:tabs>
        <w:spacing w:after="0"/>
        <w:rPr>
          <w:rFonts w:ascii="Tahoma" w:hAnsi="Tahoma" w:cs="Tahoma"/>
          <w:sz w:val="24"/>
          <w:szCs w:val="28"/>
        </w:rPr>
      </w:pPr>
    </w:p>
    <w:p w14:paraId="5C6E3F8C" w14:textId="77777777" w:rsidR="002E7459" w:rsidRDefault="002E7459" w:rsidP="002E7459">
      <w:pPr>
        <w:tabs>
          <w:tab w:val="left" w:pos="2055"/>
        </w:tabs>
        <w:spacing w:after="0"/>
        <w:rPr>
          <w:rFonts w:ascii="Tahoma" w:hAnsi="Tahoma" w:cs="Tahoma"/>
          <w:sz w:val="24"/>
          <w:szCs w:val="28"/>
        </w:rPr>
      </w:pPr>
    </w:p>
    <w:p w14:paraId="778B56B3" w14:textId="77777777" w:rsidR="002E7459" w:rsidRDefault="002E7459" w:rsidP="002E7459">
      <w:pPr>
        <w:tabs>
          <w:tab w:val="left" w:pos="2055"/>
        </w:tabs>
        <w:spacing w:after="0"/>
        <w:rPr>
          <w:rFonts w:ascii="Tahoma" w:hAnsi="Tahoma" w:cs="Tahoma"/>
          <w:sz w:val="24"/>
          <w:szCs w:val="28"/>
        </w:rPr>
      </w:pPr>
    </w:p>
    <w:p w14:paraId="4664FA86" w14:textId="77777777" w:rsidR="002E7459" w:rsidRDefault="002E7459" w:rsidP="002E7459">
      <w:pPr>
        <w:tabs>
          <w:tab w:val="left" w:pos="2055"/>
        </w:tabs>
        <w:spacing w:after="0"/>
        <w:rPr>
          <w:rFonts w:ascii="Tahoma" w:hAnsi="Tahoma" w:cs="Tahoma"/>
          <w:sz w:val="24"/>
          <w:szCs w:val="28"/>
        </w:rPr>
      </w:pPr>
    </w:p>
    <w:p w14:paraId="30AD26D8" w14:textId="77777777" w:rsidR="002E7459" w:rsidRDefault="002E7459" w:rsidP="002E7459">
      <w:pPr>
        <w:tabs>
          <w:tab w:val="left" w:pos="2055"/>
        </w:tabs>
        <w:spacing w:after="0"/>
        <w:rPr>
          <w:rFonts w:ascii="Tahoma" w:hAnsi="Tahoma" w:cs="Tahoma"/>
          <w:sz w:val="24"/>
          <w:szCs w:val="28"/>
        </w:rPr>
      </w:pPr>
    </w:p>
    <w:p w14:paraId="16024B74" w14:textId="77777777" w:rsidR="002E7459" w:rsidRDefault="002E7459" w:rsidP="002E7459">
      <w:pPr>
        <w:tabs>
          <w:tab w:val="left" w:pos="2055"/>
        </w:tabs>
        <w:spacing w:after="0"/>
        <w:rPr>
          <w:rFonts w:ascii="Tahoma" w:hAnsi="Tahoma" w:cs="Tahoma"/>
          <w:sz w:val="24"/>
          <w:szCs w:val="28"/>
        </w:rPr>
      </w:pPr>
    </w:p>
    <w:p w14:paraId="5D3BE1F6" w14:textId="77777777" w:rsidR="002E7459" w:rsidRDefault="002E7459" w:rsidP="002E7459">
      <w:pPr>
        <w:tabs>
          <w:tab w:val="left" w:pos="2055"/>
        </w:tabs>
        <w:spacing w:after="0"/>
        <w:rPr>
          <w:rFonts w:ascii="Tahoma" w:hAnsi="Tahoma" w:cs="Tahoma"/>
          <w:sz w:val="24"/>
          <w:szCs w:val="28"/>
        </w:rPr>
      </w:pPr>
    </w:p>
    <w:p w14:paraId="28434656" w14:textId="77777777" w:rsidR="002E7459" w:rsidRDefault="002E7459" w:rsidP="002E7459">
      <w:pPr>
        <w:tabs>
          <w:tab w:val="left" w:pos="2055"/>
        </w:tabs>
        <w:spacing w:after="0"/>
        <w:rPr>
          <w:rFonts w:ascii="Tahoma" w:hAnsi="Tahoma" w:cs="Tahoma"/>
          <w:sz w:val="24"/>
          <w:szCs w:val="28"/>
        </w:rPr>
      </w:pPr>
    </w:p>
    <w:p w14:paraId="467EDBBB" w14:textId="77777777" w:rsidR="002E7459" w:rsidRDefault="002E7459" w:rsidP="002E7459">
      <w:pPr>
        <w:tabs>
          <w:tab w:val="left" w:pos="2055"/>
        </w:tabs>
        <w:spacing w:after="0"/>
        <w:rPr>
          <w:rFonts w:ascii="Tahoma" w:hAnsi="Tahoma" w:cs="Tahoma"/>
          <w:sz w:val="24"/>
          <w:szCs w:val="28"/>
        </w:rPr>
      </w:pPr>
    </w:p>
    <w:p w14:paraId="7346527E" w14:textId="77777777" w:rsidR="002E7459" w:rsidRDefault="002E7459" w:rsidP="002E7459">
      <w:pPr>
        <w:tabs>
          <w:tab w:val="left" w:pos="2055"/>
        </w:tabs>
        <w:spacing w:after="0"/>
        <w:rPr>
          <w:rFonts w:ascii="Tahoma" w:hAnsi="Tahoma" w:cs="Tahoma"/>
          <w:sz w:val="24"/>
          <w:szCs w:val="28"/>
        </w:rPr>
      </w:pPr>
    </w:p>
    <w:p w14:paraId="48FC4973" w14:textId="77777777" w:rsidR="002E7459" w:rsidRDefault="002E7459" w:rsidP="002E7459">
      <w:pPr>
        <w:tabs>
          <w:tab w:val="left" w:pos="2055"/>
        </w:tabs>
        <w:spacing w:after="0"/>
        <w:rPr>
          <w:rFonts w:ascii="Tahoma" w:hAnsi="Tahoma" w:cs="Tahoma"/>
          <w:sz w:val="24"/>
          <w:szCs w:val="28"/>
        </w:rPr>
      </w:pPr>
    </w:p>
    <w:p w14:paraId="74FC1C1E" w14:textId="77777777" w:rsidR="002E7459" w:rsidRDefault="002E7459" w:rsidP="002E7459">
      <w:pPr>
        <w:tabs>
          <w:tab w:val="left" w:pos="2055"/>
        </w:tabs>
        <w:spacing w:after="0"/>
        <w:rPr>
          <w:rFonts w:ascii="Tahoma" w:hAnsi="Tahoma" w:cs="Tahoma"/>
          <w:sz w:val="24"/>
          <w:szCs w:val="28"/>
        </w:rPr>
      </w:pPr>
    </w:p>
    <w:p w14:paraId="6582719B" w14:textId="77777777" w:rsidR="002E7459" w:rsidRDefault="002E7459" w:rsidP="002E7459">
      <w:pPr>
        <w:tabs>
          <w:tab w:val="left" w:pos="2055"/>
        </w:tabs>
        <w:spacing w:after="0"/>
        <w:rPr>
          <w:rFonts w:ascii="Tahoma" w:hAnsi="Tahoma" w:cs="Tahoma"/>
          <w:sz w:val="24"/>
          <w:szCs w:val="28"/>
        </w:rPr>
      </w:pPr>
    </w:p>
    <w:p w14:paraId="2769E204" w14:textId="77777777" w:rsidR="002E7459" w:rsidRDefault="002E7459" w:rsidP="002E7459">
      <w:pPr>
        <w:tabs>
          <w:tab w:val="left" w:pos="2055"/>
        </w:tabs>
        <w:spacing w:after="0"/>
        <w:rPr>
          <w:rFonts w:ascii="Tahoma" w:hAnsi="Tahoma" w:cs="Tahoma"/>
          <w:sz w:val="24"/>
          <w:szCs w:val="28"/>
        </w:rPr>
      </w:pPr>
    </w:p>
    <w:p w14:paraId="24E1E348" w14:textId="77777777" w:rsidR="002E7459" w:rsidRDefault="002E7459" w:rsidP="002E7459">
      <w:pPr>
        <w:tabs>
          <w:tab w:val="left" w:pos="2055"/>
        </w:tabs>
        <w:spacing w:after="0"/>
        <w:rPr>
          <w:rFonts w:ascii="Tahoma" w:hAnsi="Tahoma" w:cs="Tahoma"/>
          <w:sz w:val="24"/>
          <w:szCs w:val="28"/>
        </w:rPr>
      </w:pPr>
    </w:p>
    <w:p w14:paraId="07DFC900" w14:textId="77777777" w:rsidR="002E7459" w:rsidRDefault="002E7459" w:rsidP="002E7459">
      <w:pPr>
        <w:tabs>
          <w:tab w:val="left" w:pos="2055"/>
        </w:tabs>
        <w:spacing w:after="0"/>
        <w:rPr>
          <w:rFonts w:ascii="Tahoma" w:hAnsi="Tahoma" w:cs="Tahoma"/>
          <w:sz w:val="24"/>
          <w:szCs w:val="28"/>
        </w:rPr>
      </w:pPr>
    </w:p>
    <w:p w14:paraId="1DF4C82C" w14:textId="6096F407" w:rsidR="002E7459" w:rsidRDefault="002E7459" w:rsidP="002E7459">
      <w:pPr>
        <w:tabs>
          <w:tab w:val="left" w:pos="2055"/>
        </w:tabs>
        <w:spacing w:after="0"/>
        <w:rPr>
          <w:rFonts w:ascii="Tahoma" w:hAnsi="Tahoma" w:cs="Tahoma"/>
          <w:sz w:val="24"/>
          <w:szCs w:val="28"/>
        </w:rPr>
      </w:pPr>
      <w:r>
        <w:rPr>
          <w:rFonts w:ascii="Tahoma" w:hAnsi="Tahoma" w:cs="Tahoma"/>
          <w:sz w:val="24"/>
          <w:szCs w:val="28"/>
        </w:rPr>
        <w:t xml:space="preserve">These results indicate that Cwm Taf Morgannwg University Health Board had a lower likelihood (0.786) of the first event being in an emergency setting. This was statistically significant. </w:t>
      </w:r>
    </w:p>
    <w:p w14:paraId="45D6481D" w14:textId="77777777" w:rsidR="002E7459" w:rsidRDefault="002E7459" w:rsidP="002E7459">
      <w:pPr>
        <w:tabs>
          <w:tab w:val="left" w:pos="2055"/>
        </w:tabs>
        <w:spacing w:after="0"/>
        <w:rPr>
          <w:rFonts w:ascii="Tahoma" w:hAnsi="Tahoma" w:cs="Tahoma"/>
          <w:b/>
          <w:bCs/>
          <w:sz w:val="24"/>
          <w:szCs w:val="24"/>
        </w:rPr>
      </w:pPr>
    </w:p>
    <w:p w14:paraId="79D016C6" w14:textId="7D0B47E5" w:rsidR="001D73FB" w:rsidRDefault="001D73FB" w:rsidP="00EF0E17">
      <w:pPr>
        <w:spacing w:after="0"/>
        <w:rPr>
          <w:rFonts w:ascii="Tahoma" w:hAnsi="Tahoma" w:cs="Tahoma"/>
          <w:b/>
          <w:bCs/>
          <w:sz w:val="24"/>
          <w:szCs w:val="24"/>
        </w:rPr>
      </w:pPr>
      <w:r>
        <w:rPr>
          <w:rFonts w:ascii="Tahoma" w:hAnsi="Tahoma" w:cs="Tahoma"/>
          <w:b/>
          <w:bCs/>
          <w:sz w:val="24"/>
          <w:szCs w:val="24"/>
        </w:rPr>
        <w:t>Conclusion:</w:t>
      </w:r>
    </w:p>
    <w:p w14:paraId="34D214AD" w14:textId="4BACE894" w:rsidR="002E7459" w:rsidRDefault="002E7459" w:rsidP="00EF0E17">
      <w:pPr>
        <w:spacing w:after="0"/>
        <w:rPr>
          <w:rFonts w:ascii="Tahoma" w:hAnsi="Tahoma" w:cs="Tahoma"/>
          <w:b/>
          <w:bCs/>
          <w:sz w:val="24"/>
          <w:szCs w:val="24"/>
        </w:rPr>
      </w:pPr>
      <w:r>
        <w:rPr>
          <w:rFonts w:ascii="Tahoma" w:hAnsi="Tahoma" w:cs="Tahoma"/>
          <w:sz w:val="24"/>
          <w:szCs w:val="28"/>
        </w:rPr>
        <w:t xml:space="preserve">When </w:t>
      </w:r>
      <w:r>
        <w:rPr>
          <w:rFonts w:ascii="Tahoma" w:hAnsi="Tahoma" w:cs="Tahoma"/>
          <w:sz w:val="24"/>
          <w:szCs w:val="28"/>
        </w:rPr>
        <w:t xml:space="preserve">a patient’s first contact was in an emergency setting pathways costs increased by £3,944 per annum.  Patients from the most deprived areas were 14% more likely to have their first contact in an emergency setting and females 32%.  The current model of health services seems to limit access to services in a planned </w:t>
      </w:r>
      <w:proofErr w:type="gramStart"/>
      <w:r>
        <w:rPr>
          <w:rFonts w:ascii="Tahoma" w:hAnsi="Tahoma" w:cs="Tahoma"/>
          <w:sz w:val="24"/>
          <w:szCs w:val="28"/>
        </w:rPr>
        <w:t>setting which</w:t>
      </w:r>
      <w:proofErr w:type="gramEnd"/>
      <w:r>
        <w:rPr>
          <w:rFonts w:ascii="Tahoma" w:hAnsi="Tahoma" w:cs="Tahoma"/>
          <w:sz w:val="24"/>
          <w:szCs w:val="28"/>
        </w:rPr>
        <w:t xml:space="preserve"> then leads to excessive costs.  Is limiting access to proactive services a false economy?  Is it possible to use this approach to measure the benefit of providing better access to planned services?  </w:t>
      </w:r>
      <w:proofErr w:type="gramStart"/>
      <w:r>
        <w:rPr>
          <w:rFonts w:ascii="Tahoma" w:hAnsi="Tahoma" w:cs="Tahoma"/>
          <w:sz w:val="24"/>
          <w:szCs w:val="28"/>
        </w:rPr>
        <w:t>Could this approach be used</w:t>
      </w:r>
      <w:proofErr w:type="gramEnd"/>
      <w:r>
        <w:rPr>
          <w:rFonts w:ascii="Tahoma" w:hAnsi="Tahoma" w:cs="Tahoma"/>
          <w:sz w:val="24"/>
          <w:szCs w:val="28"/>
        </w:rPr>
        <w:t xml:space="preserve"> to analyse other conditions and do risks vary between conditions and by patient characteristics</w:t>
      </w:r>
      <w:r>
        <w:rPr>
          <w:rFonts w:ascii="Tahoma" w:hAnsi="Tahoma" w:cs="Tahoma"/>
          <w:sz w:val="24"/>
          <w:szCs w:val="28"/>
        </w:rPr>
        <w:t xml:space="preserve">? </w:t>
      </w:r>
      <w:r>
        <w:rPr>
          <w:rFonts w:ascii="Tahoma" w:hAnsi="Tahoma" w:cs="Tahoma"/>
          <w:sz w:val="24"/>
          <w:szCs w:val="28"/>
        </w:rPr>
        <w:t>The team want to test the metric against a more pro-active triage service that commenced in 2020 in West Wales and ascertain whether this service reduces overall costs and minimises the risk of certain groups of patients ending up in an emergency setting</w:t>
      </w:r>
    </w:p>
    <w:sectPr w:rsidR="002E7459" w:rsidSect="00400A84">
      <w:pgSz w:w="11906" w:h="16838"/>
      <w:pgMar w:top="851" w:right="707" w:bottom="284" w:left="851" w:header="708" w:footer="708" w:gutter="0"/>
      <w:pgBorders w:offsetFrom="page">
        <w:top w:val="single" w:sz="18" w:space="24" w:color="32598A"/>
        <w:left w:val="single" w:sz="18" w:space="24" w:color="32598A"/>
        <w:bottom w:val="single" w:sz="18" w:space="24" w:color="32598A"/>
        <w:right w:val="single" w:sz="18" w:space="24" w:color="32598A"/>
      </w:pgBorder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00A84"/>
    <w:rsid w:val="000114E7"/>
    <w:rsid w:val="001300DE"/>
    <w:rsid w:val="00194A45"/>
    <w:rsid w:val="001D73FB"/>
    <w:rsid w:val="002E7459"/>
    <w:rsid w:val="00312351"/>
    <w:rsid w:val="003378B3"/>
    <w:rsid w:val="00400A84"/>
    <w:rsid w:val="00564FBF"/>
    <w:rsid w:val="0073698D"/>
    <w:rsid w:val="0084790E"/>
    <w:rsid w:val="00957516"/>
    <w:rsid w:val="00A70F30"/>
    <w:rsid w:val="00AC3303"/>
    <w:rsid w:val="00DB03CE"/>
    <w:rsid w:val="00E0156E"/>
    <w:rsid w:val="00E065C5"/>
    <w:rsid w:val="00EF0E17"/>
    <w:rsid w:val="00F057A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F2186C"/>
  <w15:chartTrackingRefBased/>
  <w15:docId w15:val="{877E3000-28B5-4D8B-ADDD-1BF60278B0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2.emf"/><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622</Words>
  <Characters>3548</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4162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Alison Elliott (CTM UHB - Research and Development)</dc:creator>
  <cp:keywords/>
  <dc:description/>
  <cp:lastModifiedBy>Jordan Morse-Parker (CTM UHB - Research and Development )</cp:lastModifiedBy>
  <cp:revision>2</cp:revision>
  <dcterms:created xsi:type="dcterms:W3CDTF">2024-11-08T08:18:00Z</dcterms:created>
  <dcterms:modified xsi:type="dcterms:W3CDTF">2024-11-08T08:18:00Z</dcterms:modified>
</cp:coreProperties>
</file>