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3C747B4" w14:textId="4941AE9E" w:rsidR="00E86AEA" w:rsidRDefault="00400A84" w:rsidP="00400A84">
      <w:pPr>
        <w:jc w:val="center"/>
        <w:rPr>
          <w:noProof/>
        </w:rPr>
      </w:pPr>
      <w:r>
        <w:rPr>
          <w:noProof/>
          <w:lang w:eastAsia="en-GB"/>
        </w:rPr>
        <w:drawing>
          <wp:anchor distT="0" distB="0" distL="114300" distR="114300" simplePos="0" relativeHeight="251659264" behindDoc="1" locked="0" layoutInCell="1" allowOverlap="1" wp14:anchorId="77D4C03B" wp14:editId="54287644">
            <wp:simplePos x="0" y="0"/>
            <wp:positionH relativeFrom="page">
              <wp:align>center</wp:align>
            </wp:positionH>
            <wp:positionV relativeFrom="paragraph">
              <wp:posOffset>-6985</wp:posOffset>
            </wp:positionV>
            <wp:extent cx="3780995" cy="962025"/>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780995" cy="962025"/>
                    </a:xfrm>
                    <a:prstGeom prst="rect">
                      <a:avLst/>
                    </a:prstGeom>
                    <a:noFill/>
                  </pic:spPr>
                </pic:pic>
              </a:graphicData>
            </a:graphic>
            <wp14:sizeRelH relativeFrom="margin">
              <wp14:pctWidth>0</wp14:pctWidth>
            </wp14:sizeRelH>
            <wp14:sizeRelV relativeFrom="margin">
              <wp14:pctHeight>0</wp14:pctHeight>
            </wp14:sizeRelV>
          </wp:anchor>
        </w:drawing>
      </w:r>
    </w:p>
    <w:p w14:paraId="515566B9" w14:textId="697CD7C8" w:rsidR="00400A84" w:rsidRDefault="00400A84" w:rsidP="00400A84">
      <w:pPr>
        <w:jc w:val="center"/>
        <w:rPr>
          <w:noProof/>
        </w:rPr>
      </w:pPr>
    </w:p>
    <w:p w14:paraId="756F0279" w14:textId="3EBEE59A" w:rsidR="00400A84" w:rsidRDefault="00400A84" w:rsidP="00400A84">
      <w:pPr>
        <w:jc w:val="center"/>
        <w:rPr>
          <w:noProof/>
        </w:rPr>
      </w:pPr>
    </w:p>
    <w:p w14:paraId="3C7B1259" w14:textId="587BAC29" w:rsidR="00400A84" w:rsidRDefault="00400A84" w:rsidP="00400A84">
      <w:pPr>
        <w:jc w:val="center"/>
        <w:rPr>
          <w:noProof/>
        </w:rPr>
      </w:pPr>
    </w:p>
    <w:p w14:paraId="1B8873D8" w14:textId="1CA7596D" w:rsidR="00400A84" w:rsidRDefault="003378B3" w:rsidP="00400A84">
      <w:pPr>
        <w:jc w:val="center"/>
        <w:rPr>
          <w:rFonts w:ascii="Tahoma" w:hAnsi="Tahoma" w:cs="Tahoma"/>
          <w:b/>
          <w:bCs/>
          <w:noProof/>
          <w:color w:val="32598A"/>
          <w:sz w:val="32"/>
          <w:szCs w:val="32"/>
        </w:rPr>
      </w:pPr>
      <w:r>
        <w:rPr>
          <w:rFonts w:ascii="Tahoma" w:hAnsi="Tahoma" w:cs="Tahoma"/>
          <w:b/>
          <w:bCs/>
          <w:noProof/>
          <w:color w:val="32598A"/>
          <w:sz w:val="32"/>
          <w:szCs w:val="32"/>
        </w:rPr>
        <w:t>RESEARCH &amp; DEVELOPMENT CONFERENCE 2024</w:t>
      </w:r>
    </w:p>
    <w:p w14:paraId="5B1E7DD7" w14:textId="6E0FD53B" w:rsidR="003378B3" w:rsidRDefault="003378B3" w:rsidP="00E0156E">
      <w:pPr>
        <w:spacing w:after="0"/>
        <w:rPr>
          <w:rFonts w:ascii="Tahoma" w:hAnsi="Tahoma" w:cs="Tahoma"/>
          <w:b/>
          <w:bCs/>
          <w:noProof/>
          <w:color w:val="32598A"/>
          <w:sz w:val="28"/>
          <w:szCs w:val="28"/>
        </w:rPr>
      </w:pPr>
      <w:r>
        <w:rPr>
          <w:rFonts w:ascii="Tahoma" w:hAnsi="Tahoma" w:cs="Tahoma"/>
          <w:b/>
          <w:bCs/>
          <w:noProof/>
          <w:color w:val="32598A"/>
          <w:sz w:val="28"/>
          <w:szCs w:val="28"/>
        </w:rPr>
        <w:t>POSTER PRESENTATION :</w:t>
      </w:r>
    </w:p>
    <w:p w14:paraId="5372B099" w14:textId="572043B4" w:rsidR="004339A0" w:rsidRPr="00525D3B" w:rsidRDefault="008A5BFF" w:rsidP="00E0156E">
      <w:pPr>
        <w:spacing w:after="0"/>
        <w:rPr>
          <w:rFonts w:ascii="Tahoma" w:hAnsi="Tahoma" w:cs="Tahoma"/>
          <w:b/>
          <w:bCs/>
          <w:noProof/>
          <w:color w:val="32598A"/>
          <w:sz w:val="16"/>
          <w:szCs w:val="16"/>
        </w:rPr>
      </w:pPr>
      <w:r w:rsidRPr="005F4E46">
        <w:rPr>
          <w:rFonts w:ascii="Tahoma" w:hAnsi="Tahoma" w:cs="Tahoma"/>
          <w:noProof/>
          <w:sz w:val="24"/>
          <w:szCs w:val="24"/>
        </w:rPr>
        <w:t>Evaluating outcomes in patients with acid related upper GI symptoms and implications for the set-up of a local capsule sponge investigative pathway</w:t>
      </w:r>
      <w:r>
        <w:rPr>
          <w:rFonts w:ascii="Tahoma" w:hAnsi="Tahoma" w:cs="Tahoma"/>
          <w:noProof/>
          <w:sz w:val="24"/>
          <w:szCs w:val="24"/>
        </w:rPr>
        <w:t>.</w:t>
      </w:r>
    </w:p>
    <w:p w14:paraId="5CFA3287" w14:textId="286E6F25" w:rsidR="003378B3" w:rsidRPr="004339A0" w:rsidRDefault="003378B3" w:rsidP="003378B3">
      <w:pPr>
        <w:rPr>
          <w:rFonts w:ascii="Tahoma" w:hAnsi="Tahoma" w:cs="Tahoma"/>
          <w:noProof/>
          <w:sz w:val="24"/>
          <w:szCs w:val="24"/>
        </w:rPr>
      </w:pPr>
      <w:r w:rsidRPr="0073698D">
        <w:rPr>
          <w:rFonts w:ascii="Tahoma" w:hAnsi="Tahoma" w:cs="Tahoma"/>
          <w:b/>
          <w:bCs/>
          <w:noProof/>
          <w:color w:val="32598A"/>
          <w:sz w:val="28"/>
          <w:szCs w:val="28"/>
        </w:rPr>
        <w:t>Author/s:</w:t>
      </w:r>
      <w:r w:rsidR="00E0156E">
        <w:rPr>
          <w:rFonts w:ascii="Tahoma" w:hAnsi="Tahoma" w:cs="Tahoma"/>
          <w:b/>
          <w:bCs/>
          <w:noProof/>
          <w:color w:val="32598A"/>
          <w:sz w:val="28"/>
          <w:szCs w:val="28"/>
        </w:rPr>
        <w:t xml:space="preserve"> </w:t>
      </w:r>
      <w:r w:rsidR="008A5BFF">
        <w:rPr>
          <w:rFonts w:ascii="Tahoma" w:hAnsi="Tahoma" w:cs="Tahoma"/>
          <w:noProof/>
          <w:sz w:val="24"/>
          <w:szCs w:val="24"/>
        </w:rPr>
        <w:t>Hawkes, D., Bowen, R.</w:t>
      </w:r>
      <w:r w:rsidR="004339A0">
        <w:rPr>
          <w:rFonts w:ascii="Tahoma" w:hAnsi="Tahoma" w:cs="Tahoma"/>
          <w:noProof/>
          <w:sz w:val="24"/>
          <w:szCs w:val="24"/>
        </w:rPr>
        <w:t xml:space="preserve"> </w:t>
      </w:r>
    </w:p>
    <w:p w14:paraId="0EF06F1D" w14:textId="5724E07E" w:rsidR="0073698D" w:rsidRPr="004339A0" w:rsidRDefault="0073698D" w:rsidP="003378B3">
      <w:pPr>
        <w:rPr>
          <w:rFonts w:ascii="Tahoma" w:hAnsi="Tahoma" w:cs="Tahoma"/>
          <w:b/>
          <w:bCs/>
          <w:noProof/>
          <w:color w:val="32598A"/>
          <w:sz w:val="28"/>
          <w:szCs w:val="28"/>
        </w:rPr>
      </w:pPr>
      <w:r>
        <w:rPr>
          <w:rFonts w:ascii="Tahoma" w:hAnsi="Tahoma" w:cs="Tahoma"/>
          <w:b/>
          <w:bCs/>
          <w:noProof/>
          <w:color w:val="32598A"/>
          <w:sz w:val="28"/>
          <w:szCs w:val="28"/>
        </w:rPr>
        <w:t>Department:</w:t>
      </w:r>
      <w:r w:rsidR="004339A0">
        <w:rPr>
          <w:rFonts w:ascii="Tahoma" w:hAnsi="Tahoma" w:cs="Tahoma"/>
          <w:b/>
          <w:bCs/>
          <w:noProof/>
          <w:color w:val="32598A"/>
          <w:sz w:val="28"/>
          <w:szCs w:val="28"/>
        </w:rPr>
        <w:t xml:space="preserve"> </w:t>
      </w:r>
      <w:r w:rsidR="008A5BFF">
        <w:rPr>
          <w:rFonts w:ascii="Tahoma" w:hAnsi="Tahoma" w:cs="Tahoma"/>
          <w:bCs/>
          <w:noProof/>
          <w:sz w:val="24"/>
          <w:szCs w:val="24"/>
        </w:rPr>
        <w:t>Gastroenterology, Cwm Taf Morgannwg University Health Board</w:t>
      </w:r>
    </w:p>
    <w:p w14:paraId="5C2DF48A" w14:textId="77777777" w:rsidR="001D73FB" w:rsidRPr="00101A21" w:rsidRDefault="001D73FB" w:rsidP="001D73FB">
      <w:pPr>
        <w:shd w:val="clear" w:color="auto" w:fill="32598A"/>
        <w:rPr>
          <w:color w:val="0066CC"/>
        </w:rPr>
      </w:pPr>
    </w:p>
    <w:p w14:paraId="348F20E3" w14:textId="77777777" w:rsidR="004339A0" w:rsidRDefault="004339A0" w:rsidP="00BD171E">
      <w:pPr>
        <w:spacing w:after="0" w:line="240" w:lineRule="auto"/>
        <w:jc w:val="both"/>
        <w:rPr>
          <w:rFonts w:ascii="Tahoma" w:hAnsi="Tahoma" w:cs="Tahoma"/>
          <w:b/>
          <w:bCs/>
          <w:sz w:val="24"/>
          <w:szCs w:val="24"/>
        </w:rPr>
      </w:pPr>
      <w:r>
        <w:rPr>
          <w:rFonts w:ascii="Tahoma" w:hAnsi="Tahoma" w:cs="Tahoma"/>
          <w:b/>
          <w:bCs/>
          <w:sz w:val="24"/>
          <w:szCs w:val="24"/>
        </w:rPr>
        <w:t>Introduction:</w:t>
      </w:r>
    </w:p>
    <w:p w14:paraId="3BD13F15" w14:textId="5F69F1DA" w:rsidR="00AE293D" w:rsidRDefault="008A5BFF" w:rsidP="00BD171E">
      <w:pPr>
        <w:spacing w:after="0" w:line="240" w:lineRule="auto"/>
        <w:jc w:val="both"/>
        <w:rPr>
          <w:rFonts w:ascii="Tahoma" w:hAnsi="Tahoma" w:cs="Tahoma"/>
          <w:noProof/>
          <w:sz w:val="24"/>
          <w:szCs w:val="24"/>
        </w:rPr>
      </w:pPr>
      <w:r w:rsidRPr="0032013E">
        <w:rPr>
          <w:rFonts w:ascii="Tahoma" w:hAnsi="Tahoma" w:cs="Tahoma"/>
          <w:noProof/>
          <w:sz w:val="24"/>
          <w:szCs w:val="24"/>
        </w:rPr>
        <w:t>Demand for endoscopy has risen and primary testing with capsule sponge</w:t>
      </w:r>
      <w:r>
        <w:rPr>
          <w:rFonts w:ascii="Tahoma" w:hAnsi="Tahoma" w:cs="Tahoma"/>
          <w:noProof/>
          <w:sz w:val="24"/>
          <w:szCs w:val="24"/>
        </w:rPr>
        <w:t xml:space="preserve"> (CS)</w:t>
      </w:r>
      <w:r w:rsidRPr="0032013E">
        <w:rPr>
          <w:rFonts w:ascii="Tahoma" w:hAnsi="Tahoma" w:cs="Tahoma"/>
          <w:noProof/>
          <w:sz w:val="24"/>
          <w:szCs w:val="24"/>
        </w:rPr>
        <w:t xml:space="preserve"> devices is being evaluated as an alternative, less invasive </w:t>
      </w:r>
      <w:r>
        <w:rPr>
          <w:rFonts w:ascii="Tahoma" w:hAnsi="Tahoma" w:cs="Tahoma"/>
          <w:noProof/>
          <w:sz w:val="24"/>
          <w:szCs w:val="24"/>
        </w:rPr>
        <w:t>screening</w:t>
      </w:r>
      <w:r w:rsidRPr="0032013E">
        <w:rPr>
          <w:rFonts w:ascii="Tahoma" w:hAnsi="Tahoma" w:cs="Tahoma"/>
          <w:noProof/>
          <w:sz w:val="24"/>
          <w:szCs w:val="24"/>
        </w:rPr>
        <w:t xml:space="preserve"> investigation </w:t>
      </w:r>
      <w:r>
        <w:rPr>
          <w:rFonts w:ascii="Tahoma" w:hAnsi="Tahoma" w:cs="Tahoma"/>
          <w:noProof/>
          <w:sz w:val="24"/>
          <w:szCs w:val="24"/>
        </w:rPr>
        <w:t>for</w:t>
      </w:r>
      <w:r w:rsidRPr="0032013E">
        <w:rPr>
          <w:rFonts w:ascii="Tahoma" w:hAnsi="Tahoma" w:cs="Tahoma"/>
          <w:noProof/>
          <w:sz w:val="24"/>
          <w:szCs w:val="24"/>
        </w:rPr>
        <w:t xml:space="preserve"> acid related symptoms. </w:t>
      </w:r>
      <w:r>
        <w:rPr>
          <w:rFonts w:ascii="Tahoma" w:hAnsi="Tahoma" w:cs="Tahoma"/>
          <w:noProof/>
          <w:sz w:val="24"/>
          <w:szCs w:val="24"/>
        </w:rPr>
        <w:t>CS</w:t>
      </w:r>
      <w:r w:rsidRPr="0032013E">
        <w:rPr>
          <w:rFonts w:ascii="Tahoma" w:hAnsi="Tahoma" w:cs="Tahoma"/>
          <w:noProof/>
          <w:sz w:val="24"/>
          <w:szCs w:val="24"/>
        </w:rPr>
        <w:t xml:space="preserve"> can be effectively used to detect Barrett’s oesophagus and </w:t>
      </w:r>
      <w:r>
        <w:rPr>
          <w:rFonts w:ascii="Tahoma" w:hAnsi="Tahoma" w:cs="Tahoma"/>
          <w:noProof/>
          <w:sz w:val="24"/>
          <w:szCs w:val="24"/>
        </w:rPr>
        <w:t>cancer</w:t>
      </w:r>
      <w:r w:rsidRPr="0032013E">
        <w:rPr>
          <w:rFonts w:ascii="Tahoma" w:hAnsi="Tahoma" w:cs="Tahoma"/>
          <w:noProof/>
          <w:sz w:val="24"/>
          <w:szCs w:val="24"/>
        </w:rPr>
        <w:t xml:space="preserve"> in patients with long standing reflux, </w:t>
      </w:r>
      <w:r>
        <w:rPr>
          <w:rFonts w:ascii="Tahoma" w:hAnsi="Tahoma" w:cs="Tahoma"/>
          <w:noProof/>
          <w:sz w:val="24"/>
          <w:szCs w:val="24"/>
        </w:rPr>
        <w:t>a</w:t>
      </w:r>
      <w:r w:rsidRPr="0032013E">
        <w:rPr>
          <w:rFonts w:ascii="Tahoma" w:hAnsi="Tahoma" w:cs="Tahoma"/>
          <w:noProof/>
          <w:sz w:val="24"/>
          <w:szCs w:val="24"/>
        </w:rPr>
        <w:t xml:space="preserve"> negative result effectively excluding significant oesophageal neoplasia</w:t>
      </w:r>
      <w:r>
        <w:rPr>
          <w:rFonts w:ascii="Tahoma" w:hAnsi="Tahoma" w:cs="Tahoma"/>
          <w:noProof/>
          <w:sz w:val="24"/>
          <w:szCs w:val="24"/>
        </w:rPr>
        <w:t xml:space="preserve"> (</w:t>
      </w:r>
      <w:r w:rsidRPr="0032013E">
        <w:rPr>
          <w:rFonts w:ascii="Tahoma" w:hAnsi="Tahoma" w:cs="Tahoma"/>
          <w:noProof/>
          <w:sz w:val="24"/>
          <w:szCs w:val="24"/>
        </w:rPr>
        <w:t>reduc</w:t>
      </w:r>
      <w:r>
        <w:rPr>
          <w:rFonts w:ascii="Tahoma" w:hAnsi="Tahoma" w:cs="Tahoma"/>
          <w:noProof/>
          <w:sz w:val="24"/>
          <w:szCs w:val="24"/>
        </w:rPr>
        <w:t>ing</w:t>
      </w:r>
      <w:r w:rsidRPr="0032013E">
        <w:rPr>
          <w:rFonts w:ascii="Tahoma" w:hAnsi="Tahoma" w:cs="Tahoma"/>
          <w:noProof/>
          <w:sz w:val="24"/>
          <w:szCs w:val="24"/>
        </w:rPr>
        <w:t xml:space="preserve"> demand for endoscopy by 70%</w:t>
      </w:r>
      <w:r>
        <w:rPr>
          <w:rFonts w:ascii="Tahoma" w:hAnsi="Tahoma" w:cs="Tahoma"/>
          <w:noProof/>
          <w:sz w:val="24"/>
          <w:szCs w:val="24"/>
        </w:rPr>
        <w:t xml:space="preserve">). </w:t>
      </w:r>
      <w:r w:rsidRPr="0032013E">
        <w:rPr>
          <w:rFonts w:ascii="Tahoma" w:hAnsi="Tahoma" w:cs="Tahoma"/>
          <w:noProof/>
          <w:sz w:val="24"/>
          <w:szCs w:val="24"/>
        </w:rPr>
        <w:t xml:space="preserve">In selecting patients suitable for capsule sponge care </w:t>
      </w:r>
      <w:r>
        <w:rPr>
          <w:rFonts w:ascii="Tahoma" w:hAnsi="Tahoma" w:cs="Tahoma"/>
          <w:noProof/>
          <w:sz w:val="24"/>
          <w:szCs w:val="24"/>
        </w:rPr>
        <w:t>must be</w:t>
      </w:r>
      <w:r w:rsidRPr="0032013E">
        <w:rPr>
          <w:rFonts w:ascii="Tahoma" w:hAnsi="Tahoma" w:cs="Tahoma"/>
          <w:noProof/>
          <w:sz w:val="24"/>
          <w:szCs w:val="24"/>
        </w:rPr>
        <w:t xml:space="preserve"> taken to discriminate between 1) ‘pure’ acid reflux symptoms, 2) acid reflux combined with other dyspeptic symptoms, 3) reflux with dysphagia or alarm symptoms.</w:t>
      </w:r>
    </w:p>
    <w:p w14:paraId="7E7021D7" w14:textId="77777777" w:rsidR="008A5BFF" w:rsidRPr="00AE293D" w:rsidRDefault="008A5BFF" w:rsidP="00BD171E">
      <w:pPr>
        <w:spacing w:after="0" w:line="240" w:lineRule="auto"/>
        <w:jc w:val="both"/>
        <w:rPr>
          <w:rFonts w:ascii="Tahoma" w:hAnsi="Tahoma" w:cs="Tahoma"/>
          <w:sz w:val="16"/>
          <w:szCs w:val="24"/>
        </w:rPr>
      </w:pPr>
    </w:p>
    <w:p w14:paraId="7348F163" w14:textId="10A59852" w:rsidR="001D73FB" w:rsidRDefault="001D73FB" w:rsidP="00BD171E">
      <w:pPr>
        <w:spacing w:after="0" w:line="240" w:lineRule="auto"/>
        <w:jc w:val="both"/>
        <w:rPr>
          <w:rFonts w:ascii="Tahoma" w:hAnsi="Tahoma" w:cs="Tahoma"/>
          <w:b/>
          <w:bCs/>
          <w:sz w:val="24"/>
          <w:szCs w:val="24"/>
        </w:rPr>
      </w:pPr>
      <w:r>
        <w:rPr>
          <w:rFonts w:ascii="Tahoma" w:hAnsi="Tahoma" w:cs="Tahoma"/>
          <w:b/>
          <w:bCs/>
          <w:sz w:val="24"/>
          <w:szCs w:val="24"/>
        </w:rPr>
        <w:t>Aim:</w:t>
      </w:r>
    </w:p>
    <w:p w14:paraId="738C93CB" w14:textId="77777777" w:rsidR="008A5BFF" w:rsidRPr="00AE7672" w:rsidRDefault="008A5BFF" w:rsidP="008A5BFF">
      <w:pPr>
        <w:ind w:right="-360"/>
        <w:rPr>
          <w:rFonts w:ascii="Tahoma" w:hAnsi="Tahoma" w:cs="Tahoma"/>
          <w:noProof/>
          <w:sz w:val="24"/>
          <w:szCs w:val="24"/>
        </w:rPr>
      </w:pPr>
      <w:r w:rsidRPr="00AE7672">
        <w:rPr>
          <w:rFonts w:ascii="Tahoma" w:hAnsi="Tahoma" w:cs="Tahoma"/>
          <w:noProof/>
          <w:sz w:val="24"/>
          <w:szCs w:val="24"/>
        </w:rPr>
        <w:t>1.</w:t>
      </w:r>
      <w:r w:rsidRPr="00AE7672">
        <w:rPr>
          <w:rFonts w:ascii="Tahoma" w:hAnsi="Tahoma" w:cs="Tahoma"/>
          <w:noProof/>
          <w:sz w:val="24"/>
          <w:szCs w:val="24"/>
        </w:rPr>
        <w:tab/>
        <w:t>Determine the frequency and demographics of patients presenting in each of the above groups.</w:t>
      </w:r>
    </w:p>
    <w:p w14:paraId="567AD01E" w14:textId="16D4533D" w:rsidR="00AE293D" w:rsidRDefault="008A5BFF" w:rsidP="008A5BFF">
      <w:pPr>
        <w:spacing w:after="0" w:line="240" w:lineRule="auto"/>
        <w:jc w:val="both"/>
        <w:rPr>
          <w:rFonts w:ascii="Tahoma" w:hAnsi="Tahoma" w:cs="Tahoma"/>
          <w:noProof/>
          <w:sz w:val="24"/>
          <w:szCs w:val="24"/>
        </w:rPr>
      </w:pPr>
      <w:r w:rsidRPr="00AE7672">
        <w:rPr>
          <w:rFonts w:ascii="Tahoma" w:hAnsi="Tahoma" w:cs="Tahoma"/>
          <w:noProof/>
          <w:sz w:val="24"/>
          <w:szCs w:val="24"/>
        </w:rPr>
        <w:t>2.</w:t>
      </w:r>
      <w:r w:rsidRPr="00AE7672">
        <w:rPr>
          <w:rFonts w:ascii="Tahoma" w:hAnsi="Tahoma" w:cs="Tahoma"/>
          <w:noProof/>
          <w:sz w:val="24"/>
          <w:szCs w:val="24"/>
        </w:rPr>
        <w:tab/>
        <w:t>Assess the proportion of significant endoscopic and histological findings in each group.</w:t>
      </w:r>
    </w:p>
    <w:p w14:paraId="6A89F8A4" w14:textId="77777777" w:rsidR="008A5BFF" w:rsidRPr="00AE293D" w:rsidRDefault="008A5BFF" w:rsidP="008A5BFF">
      <w:pPr>
        <w:spacing w:after="0" w:line="240" w:lineRule="auto"/>
        <w:jc w:val="both"/>
        <w:rPr>
          <w:rFonts w:ascii="Tahoma" w:hAnsi="Tahoma" w:cs="Tahoma"/>
          <w:b/>
          <w:bCs/>
          <w:sz w:val="16"/>
          <w:szCs w:val="24"/>
        </w:rPr>
      </w:pPr>
    </w:p>
    <w:p w14:paraId="4F0C03D1" w14:textId="554B5928" w:rsidR="001D73FB" w:rsidRDefault="001D73FB" w:rsidP="00BD171E">
      <w:pPr>
        <w:spacing w:after="0" w:line="240" w:lineRule="auto"/>
        <w:jc w:val="both"/>
        <w:rPr>
          <w:rFonts w:ascii="Tahoma" w:hAnsi="Tahoma" w:cs="Tahoma"/>
          <w:b/>
          <w:bCs/>
          <w:sz w:val="24"/>
          <w:szCs w:val="24"/>
        </w:rPr>
      </w:pPr>
      <w:r>
        <w:rPr>
          <w:rFonts w:ascii="Tahoma" w:hAnsi="Tahoma" w:cs="Tahoma"/>
          <w:b/>
          <w:bCs/>
          <w:sz w:val="24"/>
          <w:szCs w:val="24"/>
        </w:rPr>
        <w:t>Methodology</w:t>
      </w:r>
      <w:r w:rsidR="00EF0E17">
        <w:rPr>
          <w:rFonts w:ascii="Tahoma" w:hAnsi="Tahoma" w:cs="Tahoma"/>
          <w:b/>
          <w:bCs/>
          <w:sz w:val="24"/>
          <w:szCs w:val="24"/>
        </w:rPr>
        <w:t>:</w:t>
      </w:r>
    </w:p>
    <w:p w14:paraId="41CCDAF5" w14:textId="7C0D7940" w:rsidR="00312351" w:rsidRDefault="008A5BFF" w:rsidP="00BD171E">
      <w:pPr>
        <w:spacing w:after="0" w:line="240" w:lineRule="auto"/>
        <w:jc w:val="both"/>
        <w:rPr>
          <w:rFonts w:ascii="Tahoma" w:hAnsi="Tahoma" w:cs="Tahoma"/>
          <w:noProof/>
          <w:sz w:val="24"/>
          <w:szCs w:val="24"/>
        </w:rPr>
      </w:pPr>
      <w:r w:rsidRPr="00AE7672">
        <w:rPr>
          <w:rFonts w:ascii="Tahoma" w:hAnsi="Tahoma" w:cs="Tahoma"/>
          <w:noProof/>
          <w:sz w:val="24"/>
          <w:szCs w:val="24"/>
        </w:rPr>
        <w:t>Using the EMS endoscopic database, all patients attending for upper GI endoscopy from 1 January to 31 March 2024 were identified</w:t>
      </w:r>
      <w:r>
        <w:rPr>
          <w:rFonts w:ascii="Tahoma" w:hAnsi="Tahoma" w:cs="Tahoma"/>
          <w:noProof/>
          <w:sz w:val="24"/>
          <w:szCs w:val="24"/>
        </w:rPr>
        <w:t xml:space="preserve"> and</w:t>
      </w:r>
      <w:r w:rsidRPr="00AE7672">
        <w:rPr>
          <w:rFonts w:ascii="Tahoma" w:hAnsi="Tahoma" w:cs="Tahoma"/>
          <w:noProof/>
          <w:sz w:val="24"/>
          <w:szCs w:val="24"/>
        </w:rPr>
        <w:t xml:space="preserve"> referral symptoms </w:t>
      </w:r>
      <w:r>
        <w:rPr>
          <w:rFonts w:ascii="Tahoma" w:hAnsi="Tahoma" w:cs="Tahoma"/>
          <w:noProof/>
          <w:sz w:val="24"/>
          <w:szCs w:val="24"/>
        </w:rPr>
        <w:t>categorised</w:t>
      </w:r>
      <w:r w:rsidRPr="00AE7672">
        <w:rPr>
          <w:rFonts w:ascii="Tahoma" w:hAnsi="Tahoma" w:cs="Tahoma"/>
          <w:noProof/>
          <w:sz w:val="24"/>
          <w:szCs w:val="24"/>
        </w:rPr>
        <w:t xml:space="preserve"> into either 1) pure GORD, 2) GORD</w:t>
      </w:r>
      <w:r>
        <w:rPr>
          <w:rFonts w:ascii="Tahoma" w:hAnsi="Tahoma" w:cs="Tahoma"/>
          <w:noProof/>
          <w:sz w:val="24"/>
          <w:szCs w:val="24"/>
        </w:rPr>
        <w:t>+</w:t>
      </w:r>
      <w:r w:rsidRPr="00AE7672">
        <w:rPr>
          <w:rFonts w:ascii="Tahoma" w:hAnsi="Tahoma" w:cs="Tahoma"/>
          <w:noProof/>
          <w:sz w:val="24"/>
          <w:szCs w:val="24"/>
        </w:rPr>
        <w:t>dyspepsia, 3) GORD</w:t>
      </w:r>
      <w:r>
        <w:rPr>
          <w:rFonts w:ascii="Tahoma" w:hAnsi="Tahoma" w:cs="Tahoma"/>
          <w:noProof/>
          <w:sz w:val="24"/>
          <w:szCs w:val="24"/>
        </w:rPr>
        <w:t>+</w:t>
      </w:r>
      <w:r w:rsidRPr="00AE7672">
        <w:rPr>
          <w:rFonts w:ascii="Tahoma" w:hAnsi="Tahoma" w:cs="Tahoma"/>
          <w:noProof/>
          <w:sz w:val="24"/>
          <w:szCs w:val="24"/>
        </w:rPr>
        <w:t xml:space="preserve"> dysphagia or alarm symptoms. </w:t>
      </w:r>
      <w:r>
        <w:rPr>
          <w:rFonts w:ascii="Tahoma" w:hAnsi="Tahoma" w:cs="Tahoma"/>
          <w:noProof/>
          <w:sz w:val="24"/>
          <w:szCs w:val="24"/>
        </w:rPr>
        <w:t>E</w:t>
      </w:r>
      <w:r w:rsidRPr="00AE7672">
        <w:rPr>
          <w:rFonts w:ascii="Tahoma" w:hAnsi="Tahoma" w:cs="Tahoma"/>
          <w:noProof/>
          <w:sz w:val="24"/>
          <w:szCs w:val="24"/>
        </w:rPr>
        <w:t>ndoscopic, histological and relevant radiological investigations were checked to evaluate significant findings</w:t>
      </w:r>
      <w:r>
        <w:rPr>
          <w:rFonts w:ascii="Tahoma" w:hAnsi="Tahoma" w:cs="Tahoma"/>
          <w:noProof/>
          <w:sz w:val="24"/>
          <w:szCs w:val="24"/>
        </w:rPr>
        <w:t xml:space="preserve"> - </w:t>
      </w:r>
      <w:r w:rsidRPr="00AE7672">
        <w:rPr>
          <w:rFonts w:ascii="Tahoma" w:hAnsi="Tahoma" w:cs="Tahoma"/>
          <w:noProof/>
          <w:sz w:val="24"/>
          <w:szCs w:val="24"/>
        </w:rPr>
        <w:t>defined as presence of cancer, dysplasia, peptic ulceration, GORD grade C or D, peptic stricture or oesophageal ulceration.</w:t>
      </w:r>
      <w:r>
        <w:rPr>
          <w:rFonts w:ascii="Tahoma" w:hAnsi="Tahoma" w:cs="Tahoma"/>
          <w:noProof/>
          <w:sz w:val="24"/>
          <w:szCs w:val="24"/>
        </w:rPr>
        <w:t xml:space="preserve"> </w:t>
      </w:r>
      <w:r w:rsidRPr="00AE7672">
        <w:rPr>
          <w:rFonts w:ascii="Tahoma" w:hAnsi="Tahoma" w:cs="Tahoma"/>
          <w:noProof/>
          <w:sz w:val="24"/>
          <w:szCs w:val="24"/>
        </w:rPr>
        <w:t>Presence of a Barrett’s segment was also noted. Differences between groups were assessed using Chi-Squared test, significant value p&lt;0.05.</w:t>
      </w:r>
    </w:p>
    <w:p w14:paraId="2BF17D65" w14:textId="77777777" w:rsidR="008A5BFF" w:rsidRPr="00AE293D" w:rsidRDefault="008A5BFF" w:rsidP="00BD171E">
      <w:pPr>
        <w:spacing w:after="0" w:line="240" w:lineRule="auto"/>
        <w:jc w:val="both"/>
        <w:rPr>
          <w:rFonts w:ascii="Tahoma" w:hAnsi="Tahoma" w:cs="Tahoma"/>
          <w:sz w:val="16"/>
          <w:szCs w:val="24"/>
        </w:rPr>
      </w:pPr>
    </w:p>
    <w:p w14:paraId="335C0979" w14:textId="31711F46" w:rsidR="001D73FB" w:rsidRDefault="001D73FB" w:rsidP="00BD171E">
      <w:pPr>
        <w:spacing w:after="0" w:line="240" w:lineRule="auto"/>
        <w:jc w:val="both"/>
        <w:rPr>
          <w:rFonts w:ascii="Tahoma" w:hAnsi="Tahoma" w:cs="Tahoma"/>
          <w:b/>
          <w:bCs/>
          <w:sz w:val="24"/>
          <w:szCs w:val="24"/>
        </w:rPr>
      </w:pPr>
      <w:r>
        <w:rPr>
          <w:rFonts w:ascii="Tahoma" w:hAnsi="Tahoma" w:cs="Tahoma"/>
          <w:b/>
          <w:bCs/>
          <w:sz w:val="24"/>
          <w:szCs w:val="24"/>
        </w:rPr>
        <w:t>Results:</w:t>
      </w:r>
    </w:p>
    <w:p w14:paraId="769461BF" w14:textId="2ADA2CA4" w:rsidR="004339A0" w:rsidRDefault="008A5BFF" w:rsidP="00BD171E">
      <w:pPr>
        <w:spacing w:after="0" w:line="240" w:lineRule="auto"/>
        <w:jc w:val="both"/>
        <w:rPr>
          <w:rFonts w:ascii="Tahoma" w:hAnsi="Tahoma" w:cs="Tahoma"/>
          <w:noProof/>
          <w:sz w:val="24"/>
          <w:szCs w:val="24"/>
        </w:rPr>
      </w:pPr>
      <w:r w:rsidRPr="00AE7672">
        <w:rPr>
          <w:rFonts w:ascii="Tahoma" w:hAnsi="Tahoma" w:cs="Tahoma"/>
          <w:noProof/>
          <w:sz w:val="24"/>
          <w:szCs w:val="24"/>
        </w:rPr>
        <w:t>A total of 1499 patients attended for an upper GI endoscopy in the study period. Of these 67 (4.5%) had pure GORD, 73 (4.9%) had GORD</w:t>
      </w:r>
      <w:r>
        <w:rPr>
          <w:rFonts w:ascii="Tahoma" w:hAnsi="Tahoma" w:cs="Tahoma"/>
          <w:noProof/>
          <w:sz w:val="24"/>
          <w:szCs w:val="24"/>
        </w:rPr>
        <w:t>+</w:t>
      </w:r>
      <w:r w:rsidRPr="00AE7672">
        <w:rPr>
          <w:rFonts w:ascii="Tahoma" w:hAnsi="Tahoma" w:cs="Tahoma"/>
          <w:noProof/>
          <w:sz w:val="24"/>
          <w:szCs w:val="24"/>
        </w:rPr>
        <w:t>dyspepsia, and 44 (2.9%) GORD</w:t>
      </w:r>
      <w:r>
        <w:rPr>
          <w:rFonts w:ascii="Tahoma" w:hAnsi="Tahoma" w:cs="Tahoma"/>
          <w:noProof/>
          <w:sz w:val="24"/>
          <w:szCs w:val="24"/>
        </w:rPr>
        <w:t>+</w:t>
      </w:r>
      <w:r w:rsidRPr="00AE7672">
        <w:rPr>
          <w:rFonts w:ascii="Tahoma" w:hAnsi="Tahoma" w:cs="Tahoma"/>
          <w:noProof/>
          <w:sz w:val="24"/>
          <w:szCs w:val="24"/>
        </w:rPr>
        <w:t>dysphagia or alarm symptoms. The dysphagia/alarm symptom group had a higher mean age at endoscopy 57.9 years compared to other groups (pure GORD 52.1 and GORD</w:t>
      </w:r>
      <w:r>
        <w:rPr>
          <w:rFonts w:ascii="Tahoma" w:hAnsi="Tahoma" w:cs="Tahoma"/>
          <w:noProof/>
          <w:sz w:val="24"/>
          <w:szCs w:val="24"/>
        </w:rPr>
        <w:t>+</w:t>
      </w:r>
      <w:r w:rsidRPr="00AE7672">
        <w:rPr>
          <w:rFonts w:ascii="Tahoma" w:hAnsi="Tahoma" w:cs="Tahoma"/>
          <w:noProof/>
          <w:sz w:val="24"/>
          <w:szCs w:val="24"/>
        </w:rPr>
        <w:t xml:space="preserve">dyspepsia 53.3 years). </w:t>
      </w:r>
      <w:r>
        <w:rPr>
          <w:rFonts w:ascii="Tahoma" w:hAnsi="Tahoma" w:cs="Tahoma"/>
          <w:noProof/>
          <w:sz w:val="24"/>
          <w:szCs w:val="24"/>
        </w:rPr>
        <w:t xml:space="preserve">More </w:t>
      </w:r>
      <w:r w:rsidRPr="00AE7672">
        <w:rPr>
          <w:rFonts w:ascii="Tahoma" w:hAnsi="Tahoma" w:cs="Tahoma"/>
          <w:noProof/>
          <w:sz w:val="24"/>
          <w:szCs w:val="24"/>
        </w:rPr>
        <w:t>significant pathology was found in the GORD</w:t>
      </w:r>
      <w:r>
        <w:rPr>
          <w:rFonts w:ascii="Tahoma" w:hAnsi="Tahoma" w:cs="Tahoma"/>
          <w:noProof/>
          <w:sz w:val="24"/>
          <w:szCs w:val="24"/>
        </w:rPr>
        <w:t>+</w:t>
      </w:r>
      <w:r w:rsidRPr="00AE7672">
        <w:rPr>
          <w:rFonts w:ascii="Tahoma" w:hAnsi="Tahoma" w:cs="Tahoma"/>
          <w:noProof/>
          <w:sz w:val="24"/>
          <w:szCs w:val="24"/>
        </w:rPr>
        <w:t xml:space="preserve">dysphagia or alarm group (p&lt;0.00001) and malignant disease was only </w:t>
      </w:r>
      <w:r>
        <w:rPr>
          <w:rFonts w:ascii="Tahoma" w:hAnsi="Tahoma" w:cs="Tahoma"/>
          <w:noProof/>
          <w:sz w:val="24"/>
          <w:szCs w:val="24"/>
        </w:rPr>
        <w:t>identified</w:t>
      </w:r>
      <w:r w:rsidRPr="00AE7672">
        <w:rPr>
          <w:rFonts w:ascii="Tahoma" w:hAnsi="Tahoma" w:cs="Tahoma"/>
          <w:noProof/>
          <w:sz w:val="24"/>
          <w:szCs w:val="24"/>
        </w:rPr>
        <w:t xml:space="preserve"> in this group. There was no differen</w:t>
      </w:r>
      <w:r>
        <w:rPr>
          <w:rFonts w:ascii="Tahoma" w:hAnsi="Tahoma" w:cs="Tahoma"/>
          <w:noProof/>
          <w:sz w:val="24"/>
          <w:szCs w:val="24"/>
        </w:rPr>
        <w:t>ce</w:t>
      </w:r>
      <w:r w:rsidRPr="00AE7672">
        <w:rPr>
          <w:rFonts w:ascii="Tahoma" w:hAnsi="Tahoma" w:cs="Tahoma"/>
          <w:noProof/>
          <w:sz w:val="24"/>
          <w:szCs w:val="24"/>
        </w:rPr>
        <w:t xml:space="preserve"> in </w:t>
      </w:r>
      <w:r>
        <w:rPr>
          <w:rFonts w:ascii="Tahoma" w:hAnsi="Tahoma" w:cs="Tahoma"/>
          <w:noProof/>
          <w:sz w:val="24"/>
          <w:szCs w:val="24"/>
        </w:rPr>
        <w:t xml:space="preserve">rates of </w:t>
      </w:r>
      <w:r w:rsidRPr="00AE7672">
        <w:rPr>
          <w:rFonts w:ascii="Tahoma" w:hAnsi="Tahoma" w:cs="Tahoma"/>
          <w:noProof/>
          <w:sz w:val="24"/>
          <w:szCs w:val="24"/>
        </w:rPr>
        <w:t>significant pathology between the pure GORD and GORD</w:t>
      </w:r>
      <w:r>
        <w:rPr>
          <w:rFonts w:ascii="Tahoma" w:hAnsi="Tahoma" w:cs="Tahoma"/>
          <w:noProof/>
          <w:sz w:val="24"/>
          <w:szCs w:val="24"/>
        </w:rPr>
        <w:t>+</w:t>
      </w:r>
      <w:r w:rsidRPr="00AE7672">
        <w:rPr>
          <w:rFonts w:ascii="Tahoma" w:hAnsi="Tahoma" w:cs="Tahoma"/>
          <w:noProof/>
          <w:sz w:val="24"/>
          <w:szCs w:val="24"/>
        </w:rPr>
        <w:t>dyspepsia groups</w:t>
      </w:r>
      <w:r>
        <w:rPr>
          <w:rFonts w:ascii="Tahoma" w:hAnsi="Tahoma" w:cs="Tahoma"/>
          <w:noProof/>
          <w:sz w:val="24"/>
          <w:szCs w:val="24"/>
        </w:rPr>
        <w:t xml:space="preserve"> (this latter</w:t>
      </w:r>
      <w:r w:rsidRPr="00AE7672">
        <w:rPr>
          <w:rFonts w:ascii="Tahoma" w:hAnsi="Tahoma" w:cs="Tahoma"/>
          <w:noProof/>
          <w:sz w:val="24"/>
          <w:szCs w:val="24"/>
        </w:rPr>
        <w:t xml:space="preserve"> group were more likely to have gastroduodenal pathology</w:t>
      </w:r>
      <w:r>
        <w:rPr>
          <w:rFonts w:ascii="Tahoma" w:hAnsi="Tahoma" w:cs="Tahoma"/>
          <w:noProof/>
          <w:sz w:val="24"/>
          <w:szCs w:val="24"/>
        </w:rPr>
        <w:t>)</w:t>
      </w:r>
      <w:r w:rsidRPr="00AE7672">
        <w:rPr>
          <w:rFonts w:ascii="Tahoma" w:hAnsi="Tahoma" w:cs="Tahoma"/>
          <w:noProof/>
          <w:sz w:val="24"/>
          <w:szCs w:val="24"/>
        </w:rPr>
        <w:t xml:space="preserve">. 4/67 (6%) of patients </w:t>
      </w:r>
      <w:r>
        <w:rPr>
          <w:rFonts w:ascii="Tahoma" w:hAnsi="Tahoma" w:cs="Tahoma"/>
          <w:noProof/>
          <w:sz w:val="24"/>
          <w:szCs w:val="24"/>
        </w:rPr>
        <w:t>of</w:t>
      </w:r>
      <w:r w:rsidRPr="00AE7672">
        <w:rPr>
          <w:rFonts w:ascii="Tahoma" w:hAnsi="Tahoma" w:cs="Tahoma"/>
          <w:noProof/>
          <w:sz w:val="24"/>
          <w:szCs w:val="24"/>
        </w:rPr>
        <w:t xml:space="preserve"> pure GORD group had</w:t>
      </w:r>
      <w:r w:rsidRPr="008D5940">
        <w:rPr>
          <w:rFonts w:ascii="Tahoma" w:hAnsi="Tahoma" w:cs="Tahoma"/>
          <w:noProof/>
          <w:sz w:val="24"/>
          <w:szCs w:val="24"/>
        </w:rPr>
        <w:t xml:space="preserve"> confirmed Barrett’s segments, c</w:t>
      </w:r>
      <w:r>
        <w:rPr>
          <w:rFonts w:ascii="Tahoma" w:hAnsi="Tahoma" w:cs="Tahoma"/>
          <w:noProof/>
          <w:sz w:val="24"/>
          <w:szCs w:val="24"/>
        </w:rPr>
        <w:t>.f. 0/73 (0%)</w:t>
      </w:r>
      <w:r w:rsidRPr="008D5940">
        <w:rPr>
          <w:rFonts w:ascii="Tahoma" w:hAnsi="Tahoma" w:cs="Tahoma"/>
          <w:noProof/>
          <w:sz w:val="24"/>
          <w:szCs w:val="24"/>
        </w:rPr>
        <w:t xml:space="preserve"> GORD</w:t>
      </w:r>
      <w:r>
        <w:rPr>
          <w:rFonts w:ascii="Tahoma" w:hAnsi="Tahoma" w:cs="Tahoma"/>
          <w:noProof/>
          <w:sz w:val="24"/>
          <w:szCs w:val="24"/>
        </w:rPr>
        <w:t>+</w:t>
      </w:r>
      <w:r w:rsidRPr="008D5940">
        <w:rPr>
          <w:rFonts w:ascii="Tahoma" w:hAnsi="Tahoma" w:cs="Tahoma"/>
          <w:noProof/>
          <w:sz w:val="24"/>
          <w:szCs w:val="24"/>
        </w:rPr>
        <w:t>dyspepsia</w:t>
      </w:r>
      <w:r>
        <w:rPr>
          <w:rFonts w:ascii="Tahoma" w:hAnsi="Tahoma" w:cs="Tahoma"/>
          <w:noProof/>
          <w:sz w:val="24"/>
          <w:szCs w:val="24"/>
        </w:rPr>
        <w:t xml:space="preserve"> patients </w:t>
      </w:r>
      <w:r w:rsidRPr="008D5940">
        <w:rPr>
          <w:rFonts w:ascii="Tahoma" w:hAnsi="Tahoma" w:cs="Tahoma"/>
          <w:noProof/>
          <w:sz w:val="24"/>
          <w:szCs w:val="24"/>
        </w:rPr>
        <w:t>(p&lt;0.01).</w:t>
      </w:r>
    </w:p>
    <w:p w14:paraId="0EEF52F1" w14:textId="0E4DA658" w:rsidR="008A5BFF" w:rsidRDefault="008A5BFF" w:rsidP="00BD171E">
      <w:pPr>
        <w:spacing w:after="0" w:line="240" w:lineRule="auto"/>
        <w:jc w:val="both"/>
        <w:rPr>
          <w:rFonts w:ascii="Tahoma" w:hAnsi="Tahoma" w:cs="Tahoma"/>
          <w:noProof/>
          <w:sz w:val="24"/>
          <w:szCs w:val="24"/>
        </w:rPr>
      </w:pPr>
    </w:p>
    <w:p w14:paraId="53F339B0" w14:textId="34F8E5DC" w:rsidR="008A5BFF" w:rsidRDefault="008A5BFF" w:rsidP="00BD171E">
      <w:pPr>
        <w:spacing w:after="0" w:line="240" w:lineRule="auto"/>
        <w:jc w:val="both"/>
        <w:rPr>
          <w:rFonts w:ascii="Tahoma" w:hAnsi="Tahoma" w:cs="Tahoma"/>
          <w:noProof/>
          <w:sz w:val="24"/>
          <w:szCs w:val="24"/>
        </w:rPr>
      </w:pPr>
    </w:p>
    <w:p w14:paraId="4B97095B" w14:textId="7C4EB921" w:rsidR="008A5BFF" w:rsidRDefault="008A5BFF" w:rsidP="00BD171E">
      <w:pPr>
        <w:spacing w:after="0" w:line="240" w:lineRule="auto"/>
        <w:jc w:val="both"/>
        <w:rPr>
          <w:rFonts w:ascii="Tahoma" w:hAnsi="Tahoma" w:cs="Tahoma"/>
          <w:noProof/>
          <w:sz w:val="24"/>
          <w:szCs w:val="24"/>
        </w:rPr>
      </w:pPr>
    </w:p>
    <w:p w14:paraId="7321155B" w14:textId="573D3353" w:rsidR="008A5BFF" w:rsidRDefault="008A5BFF" w:rsidP="00BD171E">
      <w:pPr>
        <w:spacing w:after="0" w:line="240" w:lineRule="auto"/>
        <w:jc w:val="both"/>
        <w:rPr>
          <w:rFonts w:ascii="Tahoma" w:hAnsi="Tahoma" w:cs="Tahoma"/>
          <w:noProof/>
          <w:sz w:val="24"/>
          <w:szCs w:val="24"/>
        </w:rPr>
      </w:pPr>
    </w:p>
    <w:p w14:paraId="61E6ED50" w14:textId="77777777" w:rsidR="008A5BFF" w:rsidRPr="00AE293D" w:rsidRDefault="008A5BFF" w:rsidP="00BD171E">
      <w:pPr>
        <w:spacing w:after="0" w:line="240" w:lineRule="auto"/>
        <w:jc w:val="both"/>
        <w:rPr>
          <w:rFonts w:ascii="Tahoma" w:hAnsi="Tahoma" w:cs="Tahoma"/>
          <w:b/>
          <w:bCs/>
          <w:sz w:val="16"/>
          <w:szCs w:val="24"/>
        </w:rPr>
      </w:pPr>
    </w:p>
    <w:p w14:paraId="79D016C6" w14:textId="44FFC9F6" w:rsidR="001D73FB" w:rsidRDefault="001D73FB" w:rsidP="00BD171E">
      <w:pPr>
        <w:spacing w:after="0" w:line="240" w:lineRule="auto"/>
        <w:jc w:val="both"/>
        <w:rPr>
          <w:rFonts w:ascii="Tahoma" w:hAnsi="Tahoma" w:cs="Tahoma"/>
          <w:b/>
          <w:bCs/>
          <w:sz w:val="24"/>
          <w:szCs w:val="24"/>
        </w:rPr>
      </w:pPr>
      <w:r>
        <w:rPr>
          <w:rFonts w:ascii="Tahoma" w:hAnsi="Tahoma" w:cs="Tahoma"/>
          <w:b/>
          <w:bCs/>
          <w:sz w:val="24"/>
          <w:szCs w:val="24"/>
        </w:rPr>
        <w:lastRenderedPageBreak/>
        <w:t>Conclusion:</w:t>
      </w:r>
    </w:p>
    <w:p w14:paraId="4431CB9E" w14:textId="1AFE2D49" w:rsidR="004339A0" w:rsidRDefault="008A5BFF" w:rsidP="00EF0E17">
      <w:pPr>
        <w:spacing w:after="0"/>
        <w:rPr>
          <w:rFonts w:ascii="Tahoma" w:hAnsi="Tahoma" w:cs="Tahoma"/>
          <w:b/>
          <w:bCs/>
          <w:sz w:val="24"/>
          <w:szCs w:val="24"/>
        </w:rPr>
      </w:pPr>
      <w:r w:rsidRPr="008D5940">
        <w:rPr>
          <w:rFonts w:ascii="Tahoma" w:hAnsi="Tahoma" w:cs="Tahoma"/>
          <w:noProof/>
          <w:sz w:val="24"/>
          <w:szCs w:val="24"/>
        </w:rPr>
        <w:t>Patients who have pure GORD symptoms who would be best suited to application of a prior capsule sponge as the likelihood of missing significant disease is low and in this cohort most would avoid the need for upper GI endoscopy. It is important to screen out patients with dysphagia or alarm symptoms – these patients have a higher likelihood of significant endoscopic findings and should have an urgent endoscopy. Patients with GORD and dyspepsia were not found to have Barrett’s. Patients under 50 years without alarm symptoms and had a low rate of significant pathology – endoscopy is of little value in this patient group and does not change management.</w:t>
      </w:r>
      <w:bookmarkStart w:id="0" w:name="_GoBack"/>
      <w:bookmarkEnd w:id="0"/>
    </w:p>
    <w:sectPr w:rsidR="004339A0" w:rsidSect="00400A84">
      <w:pgSz w:w="11906" w:h="16838"/>
      <w:pgMar w:top="851" w:right="707" w:bottom="284" w:left="851" w:header="708" w:footer="708" w:gutter="0"/>
      <w:pgBorders w:offsetFrom="page">
        <w:top w:val="single" w:sz="18" w:space="24" w:color="32598A"/>
        <w:left w:val="single" w:sz="18" w:space="24" w:color="32598A"/>
        <w:bottom w:val="single" w:sz="18" w:space="24" w:color="32598A"/>
        <w:right w:val="single" w:sz="18" w:space="24" w:color="32598A"/>
      </w:pgBorder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00A84"/>
    <w:rsid w:val="000114E7"/>
    <w:rsid w:val="001300DE"/>
    <w:rsid w:val="00194A45"/>
    <w:rsid w:val="001D73FB"/>
    <w:rsid w:val="00312351"/>
    <w:rsid w:val="003378B3"/>
    <w:rsid w:val="00400A84"/>
    <w:rsid w:val="00411208"/>
    <w:rsid w:val="004339A0"/>
    <w:rsid w:val="00525D3B"/>
    <w:rsid w:val="0073698D"/>
    <w:rsid w:val="0084790E"/>
    <w:rsid w:val="008A5BFF"/>
    <w:rsid w:val="00957516"/>
    <w:rsid w:val="00A70F30"/>
    <w:rsid w:val="00AC3303"/>
    <w:rsid w:val="00AE293D"/>
    <w:rsid w:val="00BD171E"/>
    <w:rsid w:val="00DB03CE"/>
    <w:rsid w:val="00E0156E"/>
    <w:rsid w:val="00E065C5"/>
    <w:rsid w:val="00EF0E17"/>
    <w:rsid w:val="00F057A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F2186C"/>
  <w15:chartTrackingRefBased/>
  <w15:docId w15:val="{877E3000-28B5-4D8B-ADDD-1BF60278B0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AE293D"/>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488</Words>
  <Characters>2785</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Alison Elliott (CTM UHB - Research and Development)</dc:creator>
  <cp:keywords/>
  <dc:description/>
  <cp:lastModifiedBy>Jordan Morse-Parker (CTM UHB - Research and Development )</cp:lastModifiedBy>
  <cp:revision>2</cp:revision>
  <dcterms:created xsi:type="dcterms:W3CDTF">2024-11-25T16:30:00Z</dcterms:created>
  <dcterms:modified xsi:type="dcterms:W3CDTF">2024-11-25T16:30:00Z</dcterms:modified>
</cp:coreProperties>
</file>