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7961D40"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64ECF01F" w14:textId="707F6B14" w:rsidR="00341E0D" w:rsidRDefault="00341E0D" w:rsidP="00E0156E">
      <w:pPr>
        <w:spacing w:after="0"/>
        <w:rPr>
          <w:rFonts w:ascii="Tahoma" w:hAnsi="Tahoma" w:cs="Tahoma"/>
          <w:noProof/>
          <w:sz w:val="24"/>
          <w:szCs w:val="24"/>
        </w:rPr>
      </w:pPr>
      <w:r w:rsidRPr="00B13C18">
        <w:rPr>
          <w:rFonts w:ascii="Tahoma" w:hAnsi="Tahoma" w:cs="Tahoma"/>
          <w:noProof/>
          <w:sz w:val="24"/>
          <w:szCs w:val="24"/>
        </w:rPr>
        <w:t>Family resilience in India among families with children under 6yrs:  A scoping review</w:t>
      </w:r>
      <w:r>
        <w:rPr>
          <w:rFonts w:ascii="Tahoma" w:hAnsi="Tahoma" w:cs="Tahoma"/>
          <w:noProof/>
          <w:sz w:val="24"/>
          <w:szCs w:val="24"/>
        </w:rPr>
        <w:t>.</w:t>
      </w:r>
    </w:p>
    <w:p w14:paraId="633BD866" w14:textId="77777777" w:rsidR="00341E0D" w:rsidRPr="00341E0D" w:rsidRDefault="00341E0D" w:rsidP="00E0156E">
      <w:pPr>
        <w:spacing w:after="0"/>
        <w:rPr>
          <w:rFonts w:ascii="Tahoma" w:hAnsi="Tahoma" w:cs="Tahoma"/>
          <w:b/>
          <w:bCs/>
          <w:noProof/>
          <w:color w:val="32598A"/>
          <w:sz w:val="16"/>
          <w:szCs w:val="16"/>
        </w:rPr>
      </w:pPr>
    </w:p>
    <w:p w14:paraId="5CFA3287" w14:textId="343547FC" w:rsidR="003378B3" w:rsidRPr="00465925"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341E0D" w:rsidRPr="00941EE0">
        <w:rPr>
          <w:rFonts w:ascii="Tahoma" w:hAnsi="Tahoma" w:cs="Tahoma"/>
          <w:noProof/>
          <w:sz w:val="24"/>
          <w:szCs w:val="24"/>
        </w:rPr>
        <w:t>Livingstone</w:t>
      </w:r>
      <w:r w:rsidR="00465925">
        <w:rPr>
          <w:rFonts w:ascii="Tahoma" w:hAnsi="Tahoma" w:cs="Tahoma"/>
          <w:noProof/>
          <w:sz w:val="24"/>
          <w:szCs w:val="24"/>
        </w:rPr>
        <w:t>, A</w:t>
      </w:r>
      <w:r w:rsidR="00465925">
        <w:rPr>
          <w:rFonts w:ascii="Tahoma" w:hAnsi="Tahoma" w:cs="Tahoma"/>
          <w:noProof/>
          <w:sz w:val="24"/>
          <w:szCs w:val="24"/>
          <w:vertAlign w:val="superscript"/>
        </w:rPr>
        <w:t>1</w:t>
      </w:r>
      <w:r w:rsidR="00465925">
        <w:rPr>
          <w:rFonts w:ascii="Tahoma" w:hAnsi="Tahoma" w:cs="Tahoma"/>
          <w:noProof/>
          <w:sz w:val="24"/>
          <w:szCs w:val="24"/>
        </w:rPr>
        <w:t>.,</w:t>
      </w:r>
      <w:r w:rsidR="00341E0D" w:rsidRPr="00941EE0">
        <w:rPr>
          <w:rFonts w:ascii="Tahoma" w:hAnsi="Tahoma" w:cs="Tahoma"/>
          <w:noProof/>
          <w:sz w:val="24"/>
          <w:szCs w:val="24"/>
        </w:rPr>
        <w:t xml:space="preserve"> Singh Bhadoria</w:t>
      </w:r>
      <w:r w:rsidR="00465925">
        <w:rPr>
          <w:rFonts w:ascii="Tahoma" w:hAnsi="Tahoma" w:cs="Tahoma"/>
          <w:noProof/>
          <w:sz w:val="24"/>
          <w:szCs w:val="24"/>
        </w:rPr>
        <w:t>, A</w:t>
      </w:r>
      <w:r w:rsidR="00465925">
        <w:rPr>
          <w:rFonts w:ascii="Tahoma" w:hAnsi="Tahoma" w:cs="Tahoma"/>
          <w:noProof/>
          <w:sz w:val="24"/>
          <w:szCs w:val="24"/>
          <w:vertAlign w:val="superscript"/>
        </w:rPr>
        <w:t>2</w:t>
      </w:r>
      <w:r w:rsidR="00465925">
        <w:rPr>
          <w:rFonts w:ascii="Tahoma" w:hAnsi="Tahoma" w:cs="Tahoma"/>
          <w:noProof/>
          <w:sz w:val="24"/>
          <w:szCs w:val="24"/>
        </w:rPr>
        <w:t>.,</w:t>
      </w:r>
      <w:r w:rsidR="00341E0D" w:rsidRPr="00941EE0">
        <w:rPr>
          <w:rFonts w:ascii="Tahoma" w:hAnsi="Tahoma" w:cs="Tahoma"/>
          <w:noProof/>
          <w:sz w:val="24"/>
          <w:szCs w:val="24"/>
        </w:rPr>
        <w:t xml:space="preserve"> Pontin</w:t>
      </w:r>
      <w:r w:rsidR="00465925">
        <w:rPr>
          <w:rFonts w:ascii="Tahoma" w:hAnsi="Tahoma" w:cs="Tahoma"/>
          <w:noProof/>
          <w:sz w:val="24"/>
          <w:szCs w:val="24"/>
        </w:rPr>
        <w:t>, D</w:t>
      </w:r>
      <w:r w:rsidR="00465925">
        <w:rPr>
          <w:rFonts w:ascii="Tahoma" w:hAnsi="Tahoma" w:cs="Tahoma"/>
          <w:noProof/>
          <w:sz w:val="24"/>
          <w:szCs w:val="24"/>
          <w:vertAlign w:val="superscript"/>
        </w:rPr>
        <w:t>1</w:t>
      </w:r>
      <w:r w:rsidR="00465925">
        <w:rPr>
          <w:rFonts w:ascii="Tahoma" w:hAnsi="Tahoma" w:cs="Tahoma"/>
          <w:noProof/>
          <w:sz w:val="24"/>
          <w:szCs w:val="24"/>
        </w:rPr>
        <w:t>.,</w:t>
      </w:r>
      <w:r w:rsidR="00341E0D" w:rsidRPr="00941EE0">
        <w:rPr>
          <w:rFonts w:ascii="Tahoma" w:hAnsi="Tahoma" w:cs="Tahoma"/>
          <w:noProof/>
          <w:sz w:val="24"/>
          <w:szCs w:val="24"/>
        </w:rPr>
        <w:t>Saxena</w:t>
      </w:r>
      <w:r w:rsidR="00465925">
        <w:rPr>
          <w:rFonts w:ascii="Tahoma" w:hAnsi="Tahoma" w:cs="Tahoma"/>
          <w:noProof/>
          <w:sz w:val="24"/>
          <w:szCs w:val="24"/>
        </w:rPr>
        <w:t>, V</w:t>
      </w:r>
      <w:r w:rsidR="00465925">
        <w:rPr>
          <w:rFonts w:ascii="Tahoma" w:hAnsi="Tahoma" w:cs="Tahoma"/>
          <w:noProof/>
          <w:sz w:val="24"/>
          <w:szCs w:val="24"/>
          <w:vertAlign w:val="superscript"/>
        </w:rPr>
        <w:t>2</w:t>
      </w:r>
      <w:r w:rsidR="00465925">
        <w:rPr>
          <w:rFonts w:ascii="Tahoma" w:hAnsi="Tahoma" w:cs="Tahoma"/>
          <w:noProof/>
          <w:sz w:val="24"/>
          <w:szCs w:val="24"/>
        </w:rPr>
        <w:t>.,</w:t>
      </w:r>
      <w:r w:rsidR="00341E0D" w:rsidRPr="00941EE0">
        <w:rPr>
          <w:rFonts w:ascii="Tahoma" w:hAnsi="Tahoma" w:cs="Tahoma"/>
          <w:noProof/>
          <w:sz w:val="24"/>
          <w:szCs w:val="24"/>
        </w:rPr>
        <w:t xml:space="preserve"> Thomas</w:t>
      </w:r>
      <w:r w:rsidR="00465925">
        <w:rPr>
          <w:rFonts w:ascii="Tahoma" w:hAnsi="Tahoma" w:cs="Tahoma"/>
          <w:noProof/>
          <w:sz w:val="24"/>
          <w:szCs w:val="24"/>
        </w:rPr>
        <w:t>, M</w:t>
      </w:r>
      <w:r w:rsidR="00465925">
        <w:rPr>
          <w:rFonts w:ascii="Tahoma" w:hAnsi="Tahoma" w:cs="Tahoma"/>
          <w:noProof/>
          <w:sz w:val="24"/>
          <w:szCs w:val="24"/>
          <w:vertAlign w:val="superscript"/>
        </w:rPr>
        <w:t>1</w:t>
      </w:r>
      <w:r w:rsidR="00465925">
        <w:rPr>
          <w:rFonts w:ascii="Tahoma" w:hAnsi="Tahoma" w:cs="Tahoma"/>
          <w:noProof/>
          <w:sz w:val="24"/>
          <w:szCs w:val="24"/>
        </w:rPr>
        <w:t>.,</w:t>
      </w:r>
      <w:r w:rsidR="00341E0D">
        <w:rPr>
          <w:rFonts w:ascii="Tahoma" w:hAnsi="Tahoma" w:cs="Tahoma"/>
          <w:noProof/>
          <w:sz w:val="24"/>
          <w:szCs w:val="24"/>
        </w:rPr>
        <w:t xml:space="preserve"> Tetlow</w:t>
      </w:r>
      <w:r w:rsidR="00465925">
        <w:rPr>
          <w:rFonts w:ascii="Tahoma" w:hAnsi="Tahoma" w:cs="Tahoma"/>
          <w:noProof/>
          <w:sz w:val="24"/>
          <w:szCs w:val="24"/>
        </w:rPr>
        <w:t>, S</w:t>
      </w:r>
      <w:r w:rsidR="00465925">
        <w:rPr>
          <w:rFonts w:ascii="Tahoma" w:hAnsi="Tahoma" w:cs="Tahoma"/>
          <w:noProof/>
          <w:sz w:val="24"/>
          <w:szCs w:val="24"/>
          <w:vertAlign w:val="superscript"/>
        </w:rPr>
        <w:t>1</w:t>
      </w:r>
      <w:r w:rsidR="00465925">
        <w:rPr>
          <w:rFonts w:ascii="Tahoma" w:hAnsi="Tahoma" w:cs="Tahoma"/>
          <w:noProof/>
          <w:sz w:val="24"/>
          <w:szCs w:val="24"/>
        </w:rPr>
        <w:t>.,</w:t>
      </w:r>
      <w:r w:rsidR="00341E0D" w:rsidRPr="00941EE0">
        <w:rPr>
          <w:rFonts w:ascii="Tahoma" w:hAnsi="Tahoma" w:cs="Tahoma"/>
          <w:noProof/>
          <w:sz w:val="24"/>
          <w:szCs w:val="24"/>
        </w:rPr>
        <w:t xml:space="preserve"> Wallace</w:t>
      </w:r>
      <w:r w:rsidR="00465925">
        <w:rPr>
          <w:rFonts w:ascii="Tahoma" w:hAnsi="Tahoma" w:cs="Tahoma"/>
          <w:noProof/>
          <w:sz w:val="24"/>
          <w:szCs w:val="24"/>
        </w:rPr>
        <w:t>, C</w:t>
      </w:r>
      <w:r w:rsidR="00465925">
        <w:rPr>
          <w:rFonts w:ascii="Tahoma" w:hAnsi="Tahoma" w:cs="Tahoma"/>
          <w:noProof/>
          <w:sz w:val="24"/>
          <w:szCs w:val="24"/>
          <w:vertAlign w:val="superscript"/>
        </w:rPr>
        <w:t>1</w:t>
      </w:r>
      <w:r w:rsidR="00465925">
        <w:rPr>
          <w:rFonts w:ascii="Tahoma" w:hAnsi="Tahoma" w:cs="Tahoma"/>
          <w:noProof/>
          <w:sz w:val="24"/>
          <w:szCs w:val="24"/>
        </w:rPr>
        <w:t>.</w:t>
      </w:r>
    </w:p>
    <w:p w14:paraId="0EF06F1D" w14:textId="56117A92"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341E0D" w:rsidRPr="00341E0D">
        <w:rPr>
          <w:rFonts w:ascii="Tahoma" w:hAnsi="Tahoma" w:cs="Tahoma"/>
          <w:noProof/>
          <w:sz w:val="24"/>
          <w:szCs w:val="24"/>
        </w:rPr>
        <w:t xml:space="preserve"> </w:t>
      </w:r>
      <w:r w:rsidR="00341E0D">
        <w:rPr>
          <w:rFonts w:ascii="Tahoma" w:hAnsi="Tahoma" w:cs="Tahoma"/>
          <w:noProof/>
          <w:sz w:val="24"/>
          <w:szCs w:val="24"/>
          <w:vertAlign w:val="superscript"/>
        </w:rPr>
        <w:t>1</w:t>
      </w:r>
      <w:r w:rsidR="00341E0D" w:rsidRPr="005B1C64">
        <w:rPr>
          <w:rFonts w:ascii="Tahoma" w:hAnsi="Tahoma" w:cs="Tahoma"/>
          <w:noProof/>
          <w:sz w:val="24"/>
          <w:szCs w:val="24"/>
        </w:rPr>
        <w:t>Faculty of Life Sciences and Education</w:t>
      </w:r>
      <w:r w:rsidR="00341E0D">
        <w:rPr>
          <w:rFonts w:ascii="Tahoma" w:hAnsi="Tahoma" w:cs="Tahoma"/>
          <w:noProof/>
          <w:sz w:val="24"/>
          <w:szCs w:val="24"/>
        </w:rPr>
        <w:t xml:space="preserve">, </w:t>
      </w:r>
      <w:r w:rsidR="00341E0D">
        <w:rPr>
          <w:rFonts w:ascii="Tahoma" w:hAnsi="Tahoma" w:cs="Tahoma"/>
          <w:noProof/>
          <w:sz w:val="24"/>
          <w:szCs w:val="24"/>
        </w:rPr>
        <w:t>Universityof South Wales</w:t>
      </w:r>
      <w:r w:rsidR="00341E0D">
        <w:rPr>
          <w:rFonts w:ascii="Tahoma" w:hAnsi="Tahoma" w:cs="Tahoma"/>
          <w:noProof/>
          <w:sz w:val="24"/>
          <w:szCs w:val="24"/>
        </w:rPr>
        <w:t>.</w:t>
      </w:r>
      <w:r w:rsidR="00341E0D">
        <w:rPr>
          <w:rFonts w:ascii="Tahoma" w:hAnsi="Tahoma" w:cs="Tahoma"/>
          <w:noProof/>
          <w:sz w:val="24"/>
          <w:szCs w:val="24"/>
        </w:rPr>
        <w:t xml:space="preserve"> </w:t>
      </w:r>
      <w:r w:rsidR="00341E0D">
        <w:rPr>
          <w:rFonts w:ascii="Tahoma" w:hAnsi="Tahoma" w:cs="Tahoma"/>
          <w:noProof/>
          <w:sz w:val="24"/>
          <w:szCs w:val="24"/>
          <w:vertAlign w:val="superscript"/>
        </w:rPr>
        <w:t>2</w:t>
      </w:r>
      <w:r w:rsidR="00341E0D" w:rsidRPr="001A7DBA">
        <w:rPr>
          <w:rFonts w:ascii="Tahoma" w:hAnsi="Tahoma" w:cs="Tahoma"/>
          <w:noProof/>
          <w:sz w:val="24"/>
          <w:szCs w:val="24"/>
        </w:rPr>
        <w:t>Department of Community and Family Medicine</w:t>
      </w:r>
      <w:r w:rsidR="00341E0D">
        <w:rPr>
          <w:rFonts w:ascii="Tahoma" w:hAnsi="Tahoma" w:cs="Tahoma"/>
          <w:noProof/>
          <w:sz w:val="24"/>
          <w:szCs w:val="24"/>
        </w:rPr>
        <w:t xml:space="preserve">, </w:t>
      </w:r>
      <w:r w:rsidR="00341E0D" w:rsidRPr="0066549A">
        <w:rPr>
          <w:rFonts w:ascii="Tahoma" w:hAnsi="Tahoma" w:cs="Tahoma"/>
          <w:noProof/>
          <w:sz w:val="24"/>
          <w:szCs w:val="24"/>
        </w:rPr>
        <w:t>All India Institute of Medical Science</w:t>
      </w:r>
      <w:r w:rsidR="00341E0D">
        <w:rPr>
          <w:rFonts w:ascii="Tahoma" w:hAnsi="Tahoma" w:cs="Tahoma"/>
          <w:noProof/>
          <w:sz w:val="24"/>
          <w:szCs w:val="24"/>
        </w:rPr>
        <w:t>(India)</w:t>
      </w:r>
      <w:r w:rsidR="00341E0D">
        <w:rPr>
          <w:rFonts w:ascii="Tahoma" w:hAnsi="Tahoma" w:cs="Tahoma"/>
          <w:noProof/>
          <w:sz w:val="24"/>
          <w:szCs w:val="24"/>
        </w:rPr>
        <w:t>.</w:t>
      </w:r>
    </w:p>
    <w:p w14:paraId="5C2DF48A" w14:textId="77777777" w:rsidR="001D73FB" w:rsidRPr="00101A21" w:rsidRDefault="001D73FB" w:rsidP="001D73FB">
      <w:pPr>
        <w:shd w:val="clear" w:color="auto" w:fill="32598A"/>
        <w:rPr>
          <w:color w:val="0066CC"/>
        </w:rPr>
      </w:pPr>
    </w:p>
    <w:p w14:paraId="538FA88B" w14:textId="4F1FB079" w:rsidR="00400A84" w:rsidRDefault="001D73FB" w:rsidP="00341E0D">
      <w:pPr>
        <w:spacing w:after="0" w:line="240" w:lineRule="auto"/>
        <w:jc w:val="both"/>
        <w:rPr>
          <w:rFonts w:ascii="Tahoma" w:hAnsi="Tahoma" w:cs="Tahoma"/>
          <w:b/>
          <w:bCs/>
          <w:sz w:val="24"/>
          <w:szCs w:val="24"/>
        </w:rPr>
      </w:pPr>
      <w:r>
        <w:rPr>
          <w:rFonts w:ascii="Tahoma" w:hAnsi="Tahoma" w:cs="Tahoma"/>
          <w:b/>
          <w:bCs/>
          <w:sz w:val="24"/>
          <w:szCs w:val="24"/>
        </w:rPr>
        <w:t>Introduction:</w:t>
      </w:r>
    </w:p>
    <w:p w14:paraId="0DC1EA60" w14:textId="6349253D" w:rsidR="00341E0D" w:rsidRDefault="00341E0D" w:rsidP="00341E0D">
      <w:pPr>
        <w:spacing w:line="240" w:lineRule="auto"/>
        <w:jc w:val="both"/>
        <w:rPr>
          <w:rFonts w:ascii="Tahoma" w:hAnsi="Tahoma" w:cs="Tahoma"/>
          <w:b/>
          <w:bCs/>
          <w:sz w:val="24"/>
          <w:szCs w:val="24"/>
        </w:rPr>
      </w:pPr>
      <w:r w:rsidRPr="00450259">
        <w:rPr>
          <w:rFonts w:ascii="Tahoma" w:hAnsi="Tahoma" w:cs="Tahoma"/>
          <w:noProof/>
          <w:sz w:val="24"/>
          <w:szCs w:val="24"/>
        </w:rPr>
        <w:t>Children under five years make up 13% of the total population in India; the annual birth cohort is 26 million (Census, 2011). Millions of children under five years in India do not receive proper care and support to become physically healthy, mentally alert and emotionally secure (Tirupati and Sharma, 2020).</w:t>
      </w:r>
    </w:p>
    <w:p w14:paraId="7348F163" w14:textId="08267020" w:rsidR="001D73FB" w:rsidRDefault="001D73FB" w:rsidP="00341E0D">
      <w:pPr>
        <w:spacing w:after="0" w:line="240" w:lineRule="auto"/>
        <w:jc w:val="both"/>
        <w:rPr>
          <w:rFonts w:ascii="Tahoma" w:hAnsi="Tahoma" w:cs="Tahoma"/>
          <w:b/>
          <w:bCs/>
          <w:sz w:val="24"/>
          <w:szCs w:val="24"/>
        </w:rPr>
      </w:pPr>
      <w:r>
        <w:rPr>
          <w:rFonts w:ascii="Tahoma" w:hAnsi="Tahoma" w:cs="Tahoma"/>
          <w:b/>
          <w:bCs/>
          <w:sz w:val="24"/>
          <w:szCs w:val="24"/>
        </w:rPr>
        <w:t>Aim:</w:t>
      </w:r>
    </w:p>
    <w:p w14:paraId="45A842BB" w14:textId="12FB2191" w:rsidR="00341E0D" w:rsidRDefault="00341E0D" w:rsidP="00341E0D">
      <w:pPr>
        <w:spacing w:after="0" w:line="240" w:lineRule="auto"/>
        <w:jc w:val="both"/>
        <w:rPr>
          <w:rFonts w:ascii="Tahoma" w:hAnsi="Tahoma" w:cs="Tahoma"/>
          <w:noProof/>
          <w:sz w:val="24"/>
          <w:szCs w:val="24"/>
        </w:rPr>
      </w:pPr>
      <w:r w:rsidRPr="00DB7D59">
        <w:rPr>
          <w:rFonts w:ascii="Tahoma" w:hAnsi="Tahoma" w:cs="Tahoma"/>
          <w:noProof/>
          <w:sz w:val="24"/>
          <w:szCs w:val="24"/>
        </w:rPr>
        <w:t>To gain an understanding of the current Indian perspective and identify if there is a concept of family resilience in India among families with children under six years of age</w:t>
      </w:r>
      <w:r>
        <w:rPr>
          <w:rFonts w:ascii="Tahoma" w:hAnsi="Tahoma" w:cs="Tahoma"/>
          <w:noProof/>
          <w:sz w:val="24"/>
          <w:szCs w:val="24"/>
        </w:rPr>
        <w:t>.</w:t>
      </w:r>
    </w:p>
    <w:p w14:paraId="47438141" w14:textId="77777777" w:rsidR="00341E0D" w:rsidRPr="00341E0D" w:rsidRDefault="00341E0D" w:rsidP="00341E0D">
      <w:pPr>
        <w:spacing w:after="0" w:line="240" w:lineRule="auto"/>
        <w:jc w:val="both"/>
        <w:rPr>
          <w:rFonts w:ascii="Tahoma" w:hAnsi="Tahoma" w:cs="Tahoma"/>
          <w:b/>
          <w:bCs/>
          <w:sz w:val="16"/>
          <w:szCs w:val="16"/>
        </w:rPr>
      </w:pPr>
    </w:p>
    <w:p w14:paraId="4F0C03D1" w14:textId="104C5553" w:rsidR="001D73FB" w:rsidRDefault="001D73FB" w:rsidP="00341E0D">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2E75F551" w14:textId="77777777" w:rsidR="00341E0D" w:rsidRPr="004972D9" w:rsidRDefault="00341E0D" w:rsidP="00341E0D">
      <w:pPr>
        <w:spacing w:line="240" w:lineRule="auto"/>
        <w:jc w:val="both"/>
        <w:rPr>
          <w:rFonts w:ascii="Tahoma" w:hAnsi="Tahoma" w:cs="Tahoma"/>
          <w:noProof/>
          <w:sz w:val="24"/>
          <w:szCs w:val="24"/>
        </w:rPr>
      </w:pPr>
      <w:r w:rsidRPr="004972D9">
        <w:rPr>
          <w:rFonts w:ascii="Tahoma" w:hAnsi="Tahoma" w:cs="Tahoma"/>
          <w:noProof/>
          <w:sz w:val="24"/>
          <w:szCs w:val="24"/>
        </w:rPr>
        <w:t>A scoping review framework based on Arksey &amp; O Malley’s (2005) work was developed. It involves a 5-step process:</w:t>
      </w:r>
    </w:p>
    <w:p w14:paraId="7E50E742" w14:textId="77777777" w:rsidR="00341E0D" w:rsidRPr="004972D9" w:rsidRDefault="00341E0D" w:rsidP="00341E0D">
      <w:pPr>
        <w:spacing w:line="240" w:lineRule="auto"/>
        <w:jc w:val="both"/>
        <w:rPr>
          <w:rFonts w:ascii="Tahoma" w:hAnsi="Tahoma" w:cs="Tahoma"/>
          <w:noProof/>
          <w:sz w:val="24"/>
          <w:szCs w:val="24"/>
        </w:rPr>
      </w:pPr>
      <w:r w:rsidRPr="004972D9">
        <w:rPr>
          <w:rFonts w:ascii="Tahoma" w:hAnsi="Tahoma" w:cs="Tahoma"/>
          <w:noProof/>
          <w:sz w:val="24"/>
          <w:szCs w:val="24"/>
        </w:rPr>
        <w:t xml:space="preserve">1. Identify the research question </w:t>
      </w:r>
    </w:p>
    <w:p w14:paraId="00C4D015" w14:textId="77777777" w:rsidR="00341E0D" w:rsidRPr="004972D9" w:rsidRDefault="00341E0D" w:rsidP="00341E0D">
      <w:pPr>
        <w:spacing w:line="240" w:lineRule="auto"/>
        <w:jc w:val="both"/>
        <w:rPr>
          <w:rFonts w:ascii="Tahoma" w:hAnsi="Tahoma" w:cs="Tahoma"/>
          <w:noProof/>
          <w:sz w:val="24"/>
          <w:szCs w:val="24"/>
        </w:rPr>
      </w:pPr>
      <w:r w:rsidRPr="004972D9">
        <w:rPr>
          <w:rFonts w:ascii="Tahoma" w:hAnsi="Tahoma" w:cs="Tahoma"/>
          <w:noProof/>
          <w:sz w:val="24"/>
          <w:szCs w:val="24"/>
        </w:rPr>
        <w:t>2. Identify relevant studies</w:t>
      </w:r>
    </w:p>
    <w:p w14:paraId="196F67E9" w14:textId="77777777" w:rsidR="00341E0D" w:rsidRPr="004972D9" w:rsidRDefault="00341E0D" w:rsidP="00341E0D">
      <w:pPr>
        <w:spacing w:line="240" w:lineRule="auto"/>
        <w:jc w:val="both"/>
        <w:rPr>
          <w:rFonts w:ascii="Tahoma" w:hAnsi="Tahoma" w:cs="Tahoma"/>
          <w:noProof/>
          <w:sz w:val="24"/>
          <w:szCs w:val="24"/>
        </w:rPr>
      </w:pPr>
      <w:r w:rsidRPr="004972D9">
        <w:rPr>
          <w:rFonts w:ascii="Tahoma" w:hAnsi="Tahoma" w:cs="Tahoma"/>
          <w:noProof/>
          <w:sz w:val="24"/>
          <w:szCs w:val="24"/>
        </w:rPr>
        <w:t xml:space="preserve">3. Select studies/literature </w:t>
      </w:r>
    </w:p>
    <w:p w14:paraId="61F2048D" w14:textId="77777777" w:rsidR="00341E0D" w:rsidRPr="004972D9" w:rsidRDefault="00341E0D" w:rsidP="00341E0D">
      <w:pPr>
        <w:spacing w:line="240" w:lineRule="auto"/>
        <w:jc w:val="both"/>
        <w:rPr>
          <w:rFonts w:ascii="Tahoma" w:hAnsi="Tahoma" w:cs="Tahoma"/>
          <w:noProof/>
          <w:sz w:val="24"/>
          <w:szCs w:val="24"/>
        </w:rPr>
      </w:pPr>
      <w:r w:rsidRPr="004972D9">
        <w:rPr>
          <w:rFonts w:ascii="Tahoma" w:hAnsi="Tahoma" w:cs="Tahoma"/>
          <w:noProof/>
          <w:sz w:val="24"/>
          <w:szCs w:val="24"/>
        </w:rPr>
        <w:t>4. Record the literature and studies</w:t>
      </w:r>
    </w:p>
    <w:p w14:paraId="41CCDAF5" w14:textId="259F72FE" w:rsidR="00312351" w:rsidRDefault="00341E0D" w:rsidP="00341E0D">
      <w:pPr>
        <w:spacing w:after="0" w:line="240" w:lineRule="auto"/>
        <w:jc w:val="both"/>
        <w:rPr>
          <w:rFonts w:ascii="Tahoma" w:hAnsi="Tahoma" w:cs="Tahoma"/>
          <w:noProof/>
          <w:sz w:val="24"/>
          <w:szCs w:val="24"/>
        </w:rPr>
      </w:pPr>
      <w:r w:rsidRPr="004972D9">
        <w:rPr>
          <w:rFonts w:ascii="Tahoma" w:hAnsi="Tahoma" w:cs="Tahoma"/>
          <w:noProof/>
          <w:sz w:val="24"/>
          <w:szCs w:val="24"/>
        </w:rPr>
        <w:t>5. Collate, summarise and report results</w:t>
      </w:r>
      <w:r>
        <w:rPr>
          <w:rFonts w:ascii="Tahoma" w:hAnsi="Tahoma" w:cs="Tahoma"/>
          <w:noProof/>
          <w:sz w:val="24"/>
          <w:szCs w:val="24"/>
        </w:rPr>
        <w:t>.</w:t>
      </w:r>
    </w:p>
    <w:p w14:paraId="710B3491" w14:textId="77777777" w:rsidR="00341E0D" w:rsidRPr="00341E0D" w:rsidRDefault="00341E0D" w:rsidP="00341E0D">
      <w:pPr>
        <w:spacing w:after="0" w:line="240" w:lineRule="auto"/>
        <w:jc w:val="both"/>
        <w:rPr>
          <w:rFonts w:ascii="Tahoma" w:hAnsi="Tahoma" w:cs="Tahoma"/>
          <w:sz w:val="16"/>
          <w:szCs w:val="16"/>
        </w:rPr>
      </w:pPr>
    </w:p>
    <w:p w14:paraId="335C0979" w14:textId="288682AD" w:rsidR="001D73FB" w:rsidRDefault="001D73FB" w:rsidP="00341E0D">
      <w:pPr>
        <w:spacing w:after="0" w:line="240" w:lineRule="auto"/>
        <w:jc w:val="both"/>
        <w:rPr>
          <w:rFonts w:ascii="Tahoma" w:hAnsi="Tahoma" w:cs="Tahoma"/>
          <w:b/>
          <w:bCs/>
          <w:sz w:val="24"/>
          <w:szCs w:val="24"/>
        </w:rPr>
      </w:pPr>
      <w:r>
        <w:rPr>
          <w:rFonts w:ascii="Tahoma" w:hAnsi="Tahoma" w:cs="Tahoma"/>
          <w:b/>
          <w:bCs/>
          <w:sz w:val="24"/>
          <w:szCs w:val="24"/>
        </w:rPr>
        <w:t>Results:</w:t>
      </w:r>
    </w:p>
    <w:p w14:paraId="4B4FE0EB" w14:textId="29F1E911" w:rsidR="00341E0D" w:rsidRDefault="00341E0D" w:rsidP="00341E0D">
      <w:pPr>
        <w:spacing w:after="0" w:line="240" w:lineRule="auto"/>
        <w:jc w:val="both"/>
        <w:rPr>
          <w:rFonts w:ascii="Tahoma" w:hAnsi="Tahoma" w:cs="Tahoma"/>
          <w:noProof/>
          <w:sz w:val="24"/>
          <w:szCs w:val="24"/>
        </w:rPr>
      </w:pPr>
      <w:r w:rsidRPr="00C757D3">
        <w:rPr>
          <w:rFonts w:ascii="Tahoma" w:hAnsi="Tahoma" w:cs="Tahoma"/>
          <w:noProof/>
          <w:sz w:val="24"/>
          <w:szCs w:val="24"/>
        </w:rPr>
        <w:t>There were five themes identified in this scoping review which reveals the concept of family resilience in India. These were resilience factors, stress factors, assessment tools, resilience interventions and specific health issues, demographic variables, and their association with family resilience</w:t>
      </w:r>
      <w:r>
        <w:rPr>
          <w:rFonts w:ascii="Tahoma" w:hAnsi="Tahoma" w:cs="Tahoma"/>
          <w:noProof/>
          <w:sz w:val="24"/>
          <w:szCs w:val="24"/>
        </w:rPr>
        <w:t>.</w:t>
      </w:r>
    </w:p>
    <w:p w14:paraId="4086F9EE" w14:textId="77777777" w:rsidR="00341E0D" w:rsidRPr="00341E0D" w:rsidRDefault="00341E0D" w:rsidP="00341E0D">
      <w:pPr>
        <w:spacing w:after="0" w:line="240" w:lineRule="auto"/>
        <w:jc w:val="both"/>
        <w:rPr>
          <w:rFonts w:ascii="Tahoma" w:hAnsi="Tahoma" w:cs="Tahoma"/>
          <w:b/>
          <w:bCs/>
          <w:sz w:val="16"/>
          <w:szCs w:val="16"/>
        </w:rPr>
      </w:pPr>
    </w:p>
    <w:p w14:paraId="79D016C6" w14:textId="152F079D" w:rsidR="001D73FB" w:rsidRDefault="001D73FB" w:rsidP="00341E0D">
      <w:pPr>
        <w:spacing w:after="0" w:line="240" w:lineRule="auto"/>
        <w:jc w:val="both"/>
        <w:rPr>
          <w:rFonts w:ascii="Tahoma" w:hAnsi="Tahoma" w:cs="Tahoma"/>
          <w:b/>
          <w:bCs/>
          <w:sz w:val="24"/>
          <w:szCs w:val="24"/>
        </w:rPr>
      </w:pPr>
      <w:r>
        <w:rPr>
          <w:rFonts w:ascii="Tahoma" w:hAnsi="Tahoma" w:cs="Tahoma"/>
          <w:b/>
          <w:bCs/>
          <w:sz w:val="24"/>
          <w:szCs w:val="24"/>
        </w:rPr>
        <w:t>Conclusion:</w:t>
      </w:r>
    </w:p>
    <w:p w14:paraId="4843D7F1" w14:textId="7C92185D" w:rsidR="00341E0D" w:rsidRDefault="00341E0D" w:rsidP="00341E0D">
      <w:pPr>
        <w:spacing w:after="0" w:line="240" w:lineRule="auto"/>
        <w:jc w:val="both"/>
        <w:rPr>
          <w:rFonts w:ascii="Tahoma" w:hAnsi="Tahoma" w:cs="Tahoma"/>
          <w:b/>
          <w:bCs/>
          <w:sz w:val="24"/>
          <w:szCs w:val="24"/>
        </w:rPr>
      </w:pPr>
      <w:r w:rsidRPr="00156DAF">
        <w:rPr>
          <w:rFonts w:ascii="Tahoma" w:hAnsi="Tahoma" w:cs="Tahoma"/>
          <w:noProof/>
          <w:sz w:val="24"/>
          <w:szCs w:val="24"/>
        </w:rPr>
        <w:t xml:space="preserve">We have identified the concept of family resilience within an Indian context to lie within the 5 major themes  and recommend that these concepts need to be made aware to community health workers so they can prioritise interventions for families. We also identified that there were no culture specific tools to assess family resilience of families with children with optimal growth. There is a need for a study to identify the concept of family resilience among families with children under six years in India and will form the basis for training health workers who work with these families. We further recommend that the concept can be used to develop a culturally specific tool to assess </w:t>
      </w:r>
      <w:r w:rsidRPr="00156DAF">
        <w:rPr>
          <w:rFonts w:ascii="Tahoma" w:hAnsi="Tahoma" w:cs="Tahoma"/>
          <w:noProof/>
          <w:sz w:val="24"/>
          <w:szCs w:val="24"/>
        </w:rPr>
        <w:lastRenderedPageBreak/>
        <w:t>the family resilience of children in India. This tool will give the required information to health care workers</w:t>
      </w:r>
      <w:r>
        <w:rPr>
          <w:rFonts w:ascii="Tahoma" w:hAnsi="Tahoma" w:cs="Tahoma"/>
          <w:noProof/>
          <w:sz w:val="24"/>
          <w:szCs w:val="24"/>
        </w:rPr>
        <w:t>.</w:t>
      </w:r>
    </w:p>
    <w:sectPr w:rsidR="00341E0D"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341E0D"/>
    <w:rsid w:val="00400A84"/>
    <w:rsid w:val="00465925"/>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353</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2024-11-13T15:18:00Z</dcterms:created>
  <dcterms:modified xsi:type="dcterms:W3CDTF">2024-11-13T15:22:00Z</dcterms:modified>
</cp:coreProperties>
</file>